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C74A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360" w:firstLineChars="100"/>
        <w:textAlignment w:val="auto"/>
        <w:rPr>
          <w:rFonts w:hint="eastAsia" w:ascii="黑体" w:hAnsi="黑体" w:eastAsia="黑体"/>
          <w:b w:val="0"/>
          <w:bCs w:val="0"/>
          <w:kern w:val="2"/>
          <w:sz w:val="36"/>
          <w:szCs w:val="36"/>
        </w:rPr>
      </w:pPr>
      <w:r>
        <w:rPr>
          <w:rFonts w:hint="eastAsia" w:ascii="黑体" w:hAnsi="黑体" w:eastAsia="黑体"/>
          <w:b w:val="0"/>
          <w:bCs w:val="0"/>
          <w:kern w:val="2"/>
          <w:sz w:val="36"/>
          <w:szCs w:val="36"/>
        </w:rPr>
        <w:t>附件1</w:t>
      </w:r>
    </w:p>
    <w:p w14:paraId="2AF48BF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360" w:firstLineChars="100"/>
        <w:textAlignment w:val="auto"/>
        <w:rPr>
          <w:rFonts w:hint="eastAsia" w:ascii="黑体" w:hAnsi="黑体" w:eastAsia="黑体" w:cs="Times New Roman"/>
          <w:b w:val="0"/>
          <w:bCs w:val="0"/>
          <w:kern w:val="2"/>
          <w:sz w:val="36"/>
          <w:szCs w:val="36"/>
        </w:rPr>
      </w:pPr>
    </w:p>
    <w:p w14:paraId="0E0BC63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全国旅游公益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广告作品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要求</w:t>
      </w:r>
    </w:p>
    <w:bookmarkEnd w:id="0"/>
    <w:p w14:paraId="649480C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sz w:val="36"/>
          <w:szCs w:val="36"/>
        </w:rPr>
      </w:pPr>
    </w:p>
    <w:p w14:paraId="0E42B49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both"/>
        <w:textAlignment w:val="auto"/>
        <w:rPr>
          <w:rFonts w:ascii="黑体" w:hAnsi="黑体" w:eastAsia="黑体"/>
          <w:b w:val="0"/>
          <w:bCs w:val="0"/>
          <w:color w:val="000000"/>
          <w:sz w:val="36"/>
          <w:szCs w:val="36"/>
        </w:rPr>
      </w:pPr>
      <w:r>
        <w:rPr>
          <w:rFonts w:hint="eastAsia" w:ascii="黑体" w:hAnsi="黑体" w:eastAsia="黑体"/>
          <w:b w:val="0"/>
          <w:bCs w:val="0"/>
          <w:color w:val="000000"/>
          <w:sz w:val="36"/>
          <w:szCs w:val="36"/>
        </w:rPr>
        <w:t>一、</w:t>
      </w:r>
      <w:r>
        <w:rPr>
          <w:rFonts w:hint="eastAsia" w:ascii="黑体" w:hAnsi="黑体" w:eastAsia="黑体"/>
          <w:b w:val="0"/>
          <w:bCs w:val="0"/>
          <w:color w:val="000000"/>
          <w:sz w:val="36"/>
          <w:szCs w:val="36"/>
          <w:lang w:eastAsia="zh-CN"/>
        </w:rPr>
        <w:t>内容和形式</w:t>
      </w:r>
      <w:r>
        <w:rPr>
          <w:rFonts w:hint="eastAsia" w:ascii="黑体" w:hAnsi="黑体" w:eastAsia="黑体"/>
          <w:b w:val="0"/>
          <w:bCs w:val="0"/>
          <w:color w:val="000000"/>
          <w:sz w:val="36"/>
          <w:szCs w:val="36"/>
        </w:rPr>
        <w:t xml:space="preserve"> </w:t>
      </w:r>
    </w:p>
    <w:p w14:paraId="17831F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 xml:space="preserve">作品要聚焦学习宣传贯彻党的二十大精神、国家战略、文化传承、旅游带动、旅游为民、典型榜样等重点方向，充分展现旅游业在促进经济社会发展，提升全社会的旅游意识，促进人的全面发展，提升广大人民群众的幸福感、满足感，激发国内旅游消费潜力等方面取得的经验和成效，力争贴近大众审美情趣，做到思想性、艺术性和观赏性的有机统一。 </w:t>
      </w:r>
    </w:p>
    <w:p w14:paraId="4071B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（一）创作机构和个人应签署原创承诺，保证对作品拥有完全知识产权，不得抄袭、模仿。同时授权文化和旅游部、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广电总局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用于专家遴选及后续宣传推广等用途。</w:t>
      </w:r>
    </w:p>
    <w:p w14:paraId="445B35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 xml:space="preserve">（二）作品创作要善于从基层一线以及旅游者身边选取题材，情景交融地展示旅游所带来的变化。 </w:t>
      </w:r>
    </w:p>
    <w:p w14:paraId="162716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（三）提倡风格多样、百花齐放，可将各地民族、文化和地方特色融入作品中，可选取实景、动漫、MV等多种表现形式，使作品易于被不同受众群体接受和喜好。</w:t>
      </w:r>
    </w:p>
    <w:p w14:paraId="449ACA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（四）作品创作中可积极探索运用现代科技手段，为作品注入现代气息和时尚元素，运用新颖别致的表现形式吸引人、打动人。</w:t>
      </w:r>
    </w:p>
    <w:p w14:paraId="08C592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720" w:firstLineChars="200"/>
        <w:textAlignment w:val="auto"/>
        <w:rPr>
          <w:rFonts w:ascii="黑体" w:hAnsi="黑体" w:eastAsia="黑体" w:cs="Times New Roman"/>
          <w:b w:val="0"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Times New Roman"/>
          <w:b w:val="0"/>
          <w:bCs w:val="0"/>
          <w:color w:val="000000"/>
          <w:sz w:val="36"/>
          <w:szCs w:val="36"/>
        </w:rPr>
        <w:t xml:space="preserve">二、技术标准 </w:t>
      </w:r>
    </w:p>
    <w:p w14:paraId="588721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</w:rPr>
        <w:t xml:space="preserve">  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6"/>
          <w:szCs w:val="36"/>
        </w:rPr>
        <w:t>（一）广播类作品。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</w:rPr>
        <w:t xml:space="preserve">比特率不低于128kbps，位深度不低于16位，采样频率不低于44100hz，格式为MP3或WMA。 </w:t>
      </w:r>
    </w:p>
    <w:p w14:paraId="4E85BF1B"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 xml:space="preserve">  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（二）视频类作品。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分辨率不低于1280×720（16:9），码率不低于8M/秒，格式为MP4。鼓励各部门制播4K超高清格式作品，4K超高清分辨率为3840×2160（16:9），码率不低于15M/秒，格式为MP4。务必去除或遮盖作品中的台标、栏目标等，配音字幕可保留。动漫作品需转换为通用视频格式后提交，如AVI、MP4等（画质参照上述标准）。请勿提交flv等动漫格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A74DF"/>
    <w:rsid w:val="720A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next w:val="2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  <w:style w:type="paragraph" w:customStyle="1" w:styleId="6">
    <w:name w:val="普通(网站)1"/>
    <w:qFormat/>
    <w:uiPriority w:val="0"/>
    <w:pPr>
      <w:widowControl w:val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2025-07-08T01:04:00Z</dcterms:created>
  <dc:creator>XXZX</dc:creator>
  <cp:lastModifiedBy>XXZX</cp:lastModifiedBy>
  <dcterms:modified xsi:type="dcterms:W3CDTF">2025-07-08T01:06:30Z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C9995DB6DA1D48108FA4928E872F35DC_11</vt:lpwstr>
  </property>
  <property fmtid="{D5CDD505-2E9C-101B-9397-08002B2CF9AE}" pid="4" name="KSOTemplateDocerSaveRecord">
    <vt:lpwstr>eyJoZGlkIjoiMDBiNDAyYWViYWEwNzAwZDIzNGVmZTQ5OWRkZDFlNmEiLCJ1c2VySWQiOiI0NjE5MDMxMzgifQ==</vt:lpwstr>
  </property>
</Properties>
</file>