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02" w:rsidRDefault="00C95002" w:rsidP="00C95002">
      <w:pPr>
        <w:spacing w:line="600" w:lineRule="exact"/>
        <w:rPr>
          <w:rFonts w:ascii="黑体" w:eastAsia="黑体" w:hAnsi="黑体" w:cs="黑体" w:hint="eastAsia"/>
          <w:color w:val="000000"/>
          <w:szCs w:val="36"/>
        </w:rPr>
      </w:pPr>
      <w:r>
        <w:rPr>
          <w:rFonts w:ascii="黑体" w:eastAsia="黑体" w:hAnsi="黑体" w:cs="黑体" w:hint="eastAsia"/>
          <w:color w:val="000000"/>
          <w:szCs w:val="36"/>
        </w:rPr>
        <w:t>附件</w:t>
      </w:r>
      <w:r>
        <w:rPr>
          <w:rFonts w:ascii="黑体" w:eastAsia="黑体" w:hAnsi="黑体" w:cs="黑体"/>
          <w:color w:val="000000"/>
          <w:szCs w:val="36"/>
        </w:rPr>
        <w:t>2</w:t>
      </w:r>
    </w:p>
    <w:p w:rsidR="00C95002" w:rsidRDefault="00C95002" w:rsidP="00C95002">
      <w:pPr>
        <w:spacing w:line="600" w:lineRule="exact"/>
        <w:rPr>
          <w:rFonts w:ascii="仿宋_GB2312" w:hAnsi="仿宋_GB2312" w:cs="仿宋" w:hint="eastAsia"/>
          <w:color w:val="000000"/>
          <w:szCs w:val="36"/>
        </w:rPr>
      </w:pPr>
    </w:p>
    <w:p w:rsidR="00C95002" w:rsidRDefault="00C95002" w:rsidP="00C95002">
      <w:pPr>
        <w:spacing w:line="600" w:lineRule="exact"/>
        <w:jc w:val="center"/>
        <w:rPr>
          <w:rFonts w:ascii="方正小标宋简体" w:eastAsia="方正小标宋简体" w:hAnsi="仿宋_GB2312" w:cs="仿宋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Ansi="仿宋_GB2312" w:cs="仿宋" w:hint="eastAsia"/>
          <w:color w:val="000000"/>
          <w:sz w:val="36"/>
          <w:szCs w:val="36"/>
        </w:rPr>
        <w:t>全国乡村旅游重点村申报方案提纲</w:t>
      </w:r>
    </w:p>
    <w:bookmarkEnd w:id="0"/>
    <w:p w:rsidR="00C95002" w:rsidRDefault="00C95002" w:rsidP="00C95002">
      <w:pPr>
        <w:spacing w:line="600" w:lineRule="exact"/>
        <w:jc w:val="center"/>
        <w:rPr>
          <w:rFonts w:ascii="方正小标宋简体" w:eastAsia="方正小标宋简体" w:hAnsi="仿宋_GB2312" w:cs="仿宋"/>
          <w:color w:val="000000"/>
          <w:sz w:val="36"/>
          <w:szCs w:val="36"/>
        </w:rPr>
      </w:pP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一、文化和旅游资源禀赋情况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 w:hint="eastAsia"/>
          <w:snapToGrid w:val="0"/>
          <w:kern w:val="0"/>
        </w:rPr>
        <w:t>包括但不限于资源禀赋和价值、核心吸引物、旅游开发主题和定位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b/>
        </w:rPr>
      </w:pPr>
      <w:r>
        <w:rPr>
          <w:rFonts w:ascii="黑体" w:eastAsia="黑体" w:hAnsi="黑体" w:cs="黑体" w:hint="eastAsia"/>
          <w:bCs/>
        </w:rPr>
        <w:t>二、旅游发展基本情况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/>
        </w:rPr>
        <w:t>1.</w:t>
      </w:r>
      <w:r>
        <w:rPr>
          <w:rFonts w:ascii="仿宋_GB2312" w:hAnsi="仿宋_GB2312" w:cs="仿宋_GB2312" w:hint="eastAsia"/>
          <w:snapToGrid w:val="0"/>
          <w:kern w:val="0"/>
        </w:rPr>
        <w:t>旅游发展规划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/>
          <w:snapToGrid w:val="0"/>
          <w:kern w:val="0"/>
        </w:rPr>
        <w:t>2.</w:t>
      </w:r>
      <w:r>
        <w:rPr>
          <w:rFonts w:ascii="仿宋_GB2312" w:hAnsi="仿宋_GB2312" w:cs="仿宋_GB2312" w:hint="eastAsia"/>
          <w:snapToGrid w:val="0"/>
          <w:kern w:val="0"/>
        </w:rPr>
        <w:t>发展现状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</w:rPr>
      </w:pPr>
      <w:r>
        <w:rPr>
          <w:rFonts w:ascii="仿宋_GB2312" w:hAnsi="仿宋_GB2312" w:cs="仿宋_GB2312"/>
          <w:snapToGrid w:val="0"/>
          <w:kern w:val="0"/>
        </w:rPr>
        <w:t>3.</w:t>
      </w:r>
      <w:r>
        <w:rPr>
          <w:rFonts w:ascii="仿宋_GB2312" w:hAnsi="仿宋_GB2312" w:cs="仿宋_GB2312" w:hint="eastAsia"/>
          <w:snapToGrid w:val="0"/>
          <w:kern w:val="0"/>
        </w:rPr>
        <w:t>发展成效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b/>
        </w:rPr>
      </w:pPr>
      <w:r>
        <w:rPr>
          <w:rFonts w:ascii="黑体" w:eastAsia="黑体" w:hAnsi="黑体" w:cs="黑体" w:hint="eastAsia"/>
          <w:bCs/>
        </w:rPr>
        <w:t>三、旅游产品建设情况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bCs/>
        </w:rPr>
      </w:pPr>
      <w:r>
        <w:rPr>
          <w:rFonts w:ascii="仿宋_GB2312" w:hAnsi="仿宋_GB2312" w:cs="仿宋_GB2312"/>
          <w:bCs/>
        </w:rPr>
        <w:t>1.</w:t>
      </w:r>
      <w:r>
        <w:rPr>
          <w:rFonts w:ascii="仿宋_GB2312" w:hAnsi="仿宋_GB2312" w:cs="仿宋_GB2312" w:hint="eastAsia"/>
          <w:bCs/>
        </w:rPr>
        <w:t>乡村民宿、观光度假、农事体验、乡土美食、文化创意等产品建设情况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bCs/>
        </w:rPr>
      </w:pPr>
      <w:r>
        <w:rPr>
          <w:rFonts w:ascii="仿宋_GB2312" w:hAnsi="仿宋_GB2312" w:cs="仿宋_GB2312"/>
          <w:bCs/>
        </w:rPr>
        <w:t>2.</w:t>
      </w:r>
      <w:r>
        <w:rPr>
          <w:rFonts w:ascii="仿宋_GB2312" w:hAnsi="仿宋_GB2312" w:cs="仿宋_GB2312" w:hint="eastAsia"/>
          <w:bCs/>
        </w:rPr>
        <w:t>旅游产品开发特点、文化内涵挖掘、创新创意等情况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b/>
        </w:rPr>
      </w:pPr>
      <w:r>
        <w:rPr>
          <w:rFonts w:ascii="黑体" w:eastAsia="黑体" w:hAnsi="黑体" w:cs="黑体" w:hint="eastAsia"/>
          <w:bCs/>
        </w:rPr>
        <w:t>四、生态环境和传统文化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/>
          <w:snapToGrid w:val="0"/>
          <w:kern w:val="0"/>
        </w:rPr>
        <w:t>1.</w:t>
      </w:r>
      <w:r>
        <w:rPr>
          <w:rFonts w:ascii="仿宋_GB2312" w:hAnsi="仿宋_GB2312" w:cs="仿宋_GB2312" w:hint="eastAsia"/>
          <w:snapToGrid w:val="0"/>
          <w:kern w:val="0"/>
        </w:rPr>
        <w:t>自然生态环境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 w:hint="eastAsia"/>
          <w:snapToGrid w:val="0"/>
          <w:kern w:val="0"/>
        </w:rPr>
        <w:t>包括但不限于空气质量等级、水体质量等级、绿化覆盖率等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/>
          <w:snapToGrid w:val="0"/>
          <w:kern w:val="0"/>
        </w:rPr>
        <w:t>2.</w:t>
      </w:r>
      <w:r>
        <w:rPr>
          <w:rFonts w:ascii="仿宋_GB2312" w:hAnsi="仿宋_GB2312" w:cs="仿宋_GB2312" w:hint="eastAsia"/>
          <w:snapToGrid w:val="0"/>
          <w:kern w:val="0"/>
        </w:rPr>
        <w:t>传统文化展示与体验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napToGrid w:val="0"/>
          <w:color w:val="FF0000"/>
          <w:kern w:val="0"/>
        </w:rPr>
      </w:pPr>
      <w:r>
        <w:rPr>
          <w:rFonts w:ascii="仿宋_GB2312" w:hAnsi="仿宋_GB2312" w:cs="仿宋_GB2312"/>
          <w:snapToGrid w:val="0"/>
          <w:kern w:val="0"/>
        </w:rPr>
        <w:t>3.</w:t>
      </w:r>
      <w:r>
        <w:rPr>
          <w:rFonts w:ascii="仿宋_GB2312" w:hAnsi="仿宋_GB2312" w:cs="仿宋_GB2312" w:hint="eastAsia"/>
          <w:snapToGrid w:val="0"/>
          <w:kern w:val="0"/>
        </w:rPr>
        <w:t>生态环境和传统文化保护措施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 w:hint="eastAsia"/>
          <w:snapToGrid w:val="0"/>
          <w:kern w:val="0"/>
        </w:rPr>
        <w:t>包括生态环境和传统文化保护制度建设、保护途径、保护经费投入（需说明保护经费占乡村旅游收入比例）、保护</w:t>
      </w:r>
      <w:r>
        <w:rPr>
          <w:rFonts w:ascii="仿宋_GB2312" w:hAnsi="仿宋_GB2312" w:cs="仿宋_GB2312" w:hint="eastAsia"/>
          <w:snapToGrid w:val="0"/>
          <w:kern w:val="0"/>
        </w:rPr>
        <w:lastRenderedPageBreak/>
        <w:t>效果等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</w:rPr>
      </w:pPr>
      <w:r>
        <w:rPr>
          <w:rFonts w:ascii="黑体" w:eastAsia="黑体" w:hAnsi="黑体" w:cs="黑体"/>
          <w:bCs/>
        </w:rPr>
        <w:br w:type="page"/>
      </w:r>
      <w:r>
        <w:rPr>
          <w:rFonts w:ascii="黑体" w:eastAsia="黑体" w:hAnsi="黑体" w:cs="黑体" w:hint="eastAsia"/>
          <w:bCs/>
        </w:rPr>
        <w:lastRenderedPageBreak/>
        <w:t>五、基础设施建设情况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napToGrid w:val="0"/>
          <w:color w:val="FF0000"/>
          <w:kern w:val="0"/>
        </w:rPr>
      </w:pPr>
      <w:r>
        <w:rPr>
          <w:rFonts w:ascii="仿宋_GB2312" w:hAnsi="仿宋_GB2312" w:cs="仿宋_GB2312"/>
          <w:snapToGrid w:val="0"/>
          <w:kern w:val="0"/>
        </w:rPr>
        <w:t>1.</w:t>
      </w:r>
      <w:r>
        <w:rPr>
          <w:rFonts w:ascii="仿宋_GB2312" w:hAnsi="仿宋_GB2312" w:cs="仿宋_GB2312" w:hint="eastAsia"/>
          <w:snapToGrid w:val="0"/>
          <w:kern w:val="0"/>
        </w:rPr>
        <w:t>交通设施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 w:hint="eastAsia"/>
          <w:snapToGrid w:val="0"/>
          <w:kern w:val="0"/>
        </w:rPr>
      </w:pPr>
      <w:r>
        <w:rPr>
          <w:rFonts w:ascii="仿宋_GB2312" w:hAnsi="仿宋_GB2312" w:cs="仿宋_GB2312" w:hint="eastAsia"/>
          <w:snapToGrid w:val="0"/>
          <w:kern w:val="0"/>
        </w:rPr>
        <w:t>包括外部交通设施（通往乡村的公路等级、是否有城市公交或旅游专线车到达、标识标牌建设等）和内部交通设施（游线设计、游步道建设、内部交通工具等）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/>
          <w:snapToGrid w:val="0"/>
          <w:kern w:val="0"/>
        </w:rPr>
        <w:t>2.</w:t>
      </w:r>
      <w:r>
        <w:rPr>
          <w:rFonts w:ascii="仿宋_GB2312" w:hAnsi="仿宋_GB2312" w:cs="仿宋_GB2312" w:hint="eastAsia"/>
          <w:snapToGrid w:val="0"/>
          <w:kern w:val="0"/>
        </w:rPr>
        <w:t>水电设施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/>
          <w:snapToGrid w:val="0"/>
          <w:kern w:val="0"/>
        </w:rPr>
        <w:t>3.</w:t>
      </w:r>
      <w:r>
        <w:rPr>
          <w:rFonts w:ascii="仿宋_GB2312" w:hAnsi="仿宋_GB2312" w:cs="仿宋_GB2312" w:hint="eastAsia"/>
          <w:snapToGrid w:val="0"/>
          <w:kern w:val="0"/>
        </w:rPr>
        <w:t>邮电通讯设施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/>
          <w:snapToGrid w:val="0"/>
          <w:kern w:val="0"/>
        </w:rPr>
        <w:t>4.</w:t>
      </w:r>
      <w:r>
        <w:rPr>
          <w:rFonts w:ascii="仿宋_GB2312" w:hAnsi="仿宋_GB2312" w:cs="仿宋_GB2312" w:hint="eastAsia"/>
          <w:snapToGrid w:val="0"/>
          <w:kern w:val="0"/>
        </w:rPr>
        <w:t>环保设施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b/>
        </w:rPr>
      </w:pPr>
      <w:r>
        <w:rPr>
          <w:rFonts w:ascii="黑体" w:eastAsia="黑体" w:hAnsi="黑体" w:cs="黑体" w:hint="eastAsia"/>
          <w:bCs/>
        </w:rPr>
        <w:t>六、旅游公共服务设施情况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 w:hint="eastAsia"/>
          <w:snapToGrid w:val="0"/>
          <w:kern w:val="0"/>
        </w:rPr>
        <w:t>包括但不限于游客中心、停车场、游憩设施、标识标牌、旅游厕所等建设情况。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黑体" w:hint="eastAsia"/>
          <w:bCs/>
        </w:rPr>
      </w:pPr>
      <w:r>
        <w:rPr>
          <w:rFonts w:ascii="黑体" w:eastAsia="黑体" w:hAnsi="黑体" w:cs="黑体" w:hint="eastAsia"/>
          <w:bCs/>
        </w:rPr>
        <w:t>七、旅游发展带动效益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/>
          <w:snapToGrid w:val="0"/>
          <w:kern w:val="0"/>
        </w:rPr>
        <w:t>1.</w:t>
      </w:r>
      <w:r>
        <w:rPr>
          <w:rFonts w:ascii="仿宋_GB2312" w:hAnsi="仿宋_GB2312" w:cs="仿宋_GB2312" w:hint="eastAsia"/>
          <w:snapToGrid w:val="0"/>
          <w:kern w:val="0"/>
        </w:rPr>
        <w:t>带动经济社会发展情况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snapToGrid w:val="0"/>
          <w:kern w:val="0"/>
        </w:rPr>
      </w:pPr>
      <w:r>
        <w:rPr>
          <w:rFonts w:ascii="仿宋_GB2312" w:hAnsi="仿宋_GB2312" w:cs="仿宋_GB2312"/>
          <w:snapToGrid w:val="0"/>
          <w:kern w:val="0"/>
        </w:rPr>
        <w:t>2.</w:t>
      </w:r>
      <w:r>
        <w:rPr>
          <w:rFonts w:ascii="仿宋_GB2312" w:hAnsi="仿宋_GB2312" w:cs="仿宋_GB2312" w:hint="eastAsia"/>
          <w:snapToGrid w:val="0"/>
          <w:kern w:val="0"/>
        </w:rPr>
        <w:t>带动村民增收情况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仿宋_GB2312" w:hAnsi="仿宋_GB2312" w:cs="仿宋_GB2312"/>
          <w:b/>
        </w:rPr>
      </w:pPr>
      <w:r>
        <w:rPr>
          <w:rFonts w:ascii="黑体" w:eastAsia="黑体" w:hAnsi="黑体" w:cs="黑体" w:hint="eastAsia"/>
          <w:bCs/>
        </w:rPr>
        <w:t>八、可推广复制经验做法</w:t>
      </w:r>
    </w:p>
    <w:p w:rsidR="00C95002" w:rsidRDefault="00C95002" w:rsidP="00C95002">
      <w:pPr>
        <w:adjustRightInd w:val="0"/>
        <w:snapToGrid w:val="0"/>
        <w:spacing w:line="600" w:lineRule="exact"/>
        <w:ind w:firstLineChars="200" w:firstLine="640"/>
        <w:rPr>
          <w:rFonts w:ascii="方正小标宋简体" w:eastAsia="方正小标宋简体" w:hAnsi="仿宋_GB2312" w:cs="仿宋"/>
          <w:color w:val="000000"/>
          <w:sz w:val="36"/>
          <w:szCs w:val="36"/>
        </w:rPr>
      </w:pPr>
      <w:r>
        <w:rPr>
          <w:rFonts w:ascii="仿宋_GB2312" w:hAnsi="仿宋_GB2312" w:cs="仿宋_GB2312" w:hint="eastAsia"/>
          <w:snapToGrid w:val="0"/>
          <w:kern w:val="0"/>
        </w:rPr>
        <w:t>可根据实际情况，从旅游产品、发展模式、体制机制创新等方面进行阐述</w:t>
      </w:r>
    </w:p>
    <w:p w:rsidR="002B789B" w:rsidRPr="00C95002" w:rsidRDefault="002B789B"/>
    <w:sectPr w:rsidR="002B789B" w:rsidRPr="00C95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02"/>
    <w:rsid w:val="002B789B"/>
    <w:rsid w:val="00C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FDF9B-3FCC-4D95-ABE8-B7D959C3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00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"/>
    <w:semiHidden/>
    <w:rsid w:val="00C95002"/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2019-06-12T06:17:00Z</dcterms:created>
  <dcterms:modified xsi:type="dcterms:W3CDTF">2019-06-12T06:18:00Z</dcterms:modified>
</cp:coreProperties>
</file>