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74" w:rsidRPr="00862474" w:rsidRDefault="00862474" w:rsidP="00862474">
      <w:pPr>
        <w:widowControl/>
        <w:spacing w:line="240" w:lineRule="atLeas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62474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862474" w:rsidRPr="00862474" w:rsidRDefault="00862474" w:rsidP="00862474">
      <w:pPr>
        <w:widowControl/>
        <w:spacing w:line="240" w:lineRule="atLeast"/>
        <w:jc w:val="center"/>
        <w:rPr>
          <w:rFonts w:ascii="黑体" w:eastAsia="黑体" w:hAnsi="黑体" w:cs="Times New Roman" w:hint="eastAsia"/>
          <w:color w:val="000000"/>
          <w:kern w:val="0"/>
          <w:sz w:val="36"/>
          <w:szCs w:val="36"/>
        </w:rPr>
      </w:pPr>
      <w:r w:rsidRPr="00862474">
        <w:rPr>
          <w:rFonts w:ascii="方正小标宋简体" w:eastAsia="方正小标宋简体" w:hAnsi="方正小标宋简体" w:cs="Times New Roman" w:hint="eastAsia"/>
          <w:color w:val="000000"/>
          <w:kern w:val="0"/>
          <w:sz w:val="36"/>
          <w:szCs w:val="36"/>
        </w:rPr>
        <w:t>国有文艺院团社会效益评价考核标准</w:t>
      </w: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1788"/>
        <w:gridCol w:w="10681"/>
        <w:gridCol w:w="1843"/>
      </w:tblGrid>
      <w:tr w:rsidR="00862474" w:rsidRPr="00862474" w:rsidTr="00862474"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考评项目</w:t>
            </w:r>
          </w:p>
        </w:tc>
        <w:tc>
          <w:tcPr>
            <w:tcW w:w="10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重大问题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是/否</w:t>
            </w:r>
          </w:p>
        </w:tc>
      </w:tr>
      <w:tr w:rsidR="00862474" w:rsidRPr="00862474" w:rsidTr="00862474">
        <w:trPr>
          <w:trHeight w:val="159"/>
        </w:trPr>
        <w:tc>
          <w:tcPr>
            <w:tcW w:w="1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“一票否决”情况</w:t>
            </w:r>
          </w:p>
        </w:tc>
        <w:tc>
          <w:tcPr>
            <w:tcW w:w="10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违反党的政治规矩和政治纪律。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273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违反国家相关法律法规。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315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经营过程中出现重大安全事故。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315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因严重失信行为被有关部门列入黑名单。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243"/>
        </w:trPr>
        <w:tc>
          <w:tcPr>
            <w:tcW w:w="1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在考核中有意谎报、造假、瞒报有关考核内容。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</w:p>
        </w:tc>
      </w:tr>
    </w:tbl>
    <w:p w:rsidR="00862474" w:rsidRPr="00862474" w:rsidRDefault="00862474" w:rsidP="00862474">
      <w:pPr>
        <w:widowControl/>
        <w:spacing w:line="240" w:lineRule="atLeast"/>
        <w:jc w:val="center"/>
        <w:rPr>
          <w:rFonts w:ascii="宋体" w:eastAsia="宋体" w:hAnsi="宋体" w:cs="Times New Roman" w:hint="eastAsia"/>
          <w:kern w:val="0"/>
          <w:sz w:val="24"/>
          <w:szCs w:val="24"/>
        </w:rPr>
      </w:pPr>
    </w:p>
    <w:tbl>
      <w:tblPr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3500"/>
        <w:gridCol w:w="5894"/>
        <w:gridCol w:w="1283"/>
        <w:gridCol w:w="985"/>
        <w:gridCol w:w="1095"/>
      </w:tblGrid>
      <w:tr w:rsidR="00862474" w:rsidRPr="00862474" w:rsidTr="00862474">
        <w:trPr>
          <w:trHeight w:val="131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三级指标制定要点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（各地结合实际情况制定考核细则，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楷体_GB2312" w:eastAsia="楷体_GB2312" w:hAnsi="Times New Roman" w:cs="Times New Roman" w:hint="eastAsia"/>
                <w:color w:val="000000"/>
                <w:kern w:val="0"/>
                <w:sz w:val="24"/>
                <w:szCs w:val="24"/>
              </w:rPr>
              <w:t>包括但不限于以下要点）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年度计划目标值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实际值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 w:rsidR="00862474" w:rsidRPr="00862474" w:rsidTr="00862474">
        <w:trPr>
          <w:trHeight w:val="620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创作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（“创作”与“演出”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共80分）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（一）创作机制</w:t>
            </w:r>
          </w:p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占创作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1.通过艺术委员会会议或其他形式开展创作论证情况。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 w:hint="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862474" w:rsidRPr="00862474" w:rsidTr="00862474">
        <w:trPr>
          <w:trHeight w:val="620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2.深入生活、扎根人民长效机制建设情况。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 w:hint="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862474" w:rsidRPr="00862474" w:rsidTr="00862474">
        <w:trPr>
          <w:trHeight w:val="615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（二）年度作品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占创作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1.年度创作计划目标完成情况。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851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2.现实题材作品、原创、改编、复排、移植或引进剧目创作情况。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851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（三）创作荣誉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占创作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00" w:lineRule="atLeas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1.获得国际奖项和全国性奖项情况。（全国性奖项目录附后）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851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2.参加国际和国家重大艺术活动情况。（国家重大艺术活动目录附后）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Cambria" w:eastAsia="宋体" w:hAnsi="Cambr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851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00" w:lineRule="atLeas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3.获得省级及省以下奖项、参加省级及省以下重要艺术活动情况。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306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演出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（“创作”与“演出”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共80分）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（一）演出总场次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占演出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1.年度演出计划总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场次目标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完成情况。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304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2.年度计划公益性演出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场次目标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完成情况。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304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3.年度计划下基层演出总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场次目标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完成情况。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571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4.年度计划外的临时性政府指令性演出场次、完成情况。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652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（二）观众人次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占演出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00" w:lineRule="atLeas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室内场馆观众人数、室外场所观众人数和通过网络等其他途径观看人数。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699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（三）观看满意度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占演出</w:t>
            </w:r>
            <w:proofErr w:type="gramEnd"/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可根据实际情况采取匿名随机抽样问卷调查、网上投票、抽取观众代表进行测评等方式了解观看满意度。同时兼顾各类媒体上有份量的评论情况，结合专家意见和一般观众意见进行判断。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743"/>
        </w:trPr>
        <w:tc>
          <w:tcPr>
            <w:tcW w:w="15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20"/>
              <w:jc w:val="left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普及</w:t>
            </w:r>
          </w:p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（一）艺术知识、艺术鉴赏普及活动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（占普及总分数的1/3）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举办艺术讲座等非演出形式的普及活动的次数、参与人次情况。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766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（二）艺术培训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（占普及总分数的1/3）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参加艺术培训人次。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779"/>
        </w:trPr>
        <w:tc>
          <w:tcPr>
            <w:tcW w:w="15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474" w:rsidRPr="00862474" w:rsidRDefault="00862474" w:rsidP="00862474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（三）艺术传播推广</w:t>
            </w:r>
          </w:p>
          <w:p w:rsidR="00862474" w:rsidRPr="00862474" w:rsidRDefault="00862474" w:rsidP="00862474">
            <w:pPr>
              <w:widowControl/>
              <w:spacing w:line="460" w:lineRule="atLeast"/>
              <w:ind w:firstLine="420"/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（占普及总分数的1/3）</w:t>
            </w:r>
            <w:r w:rsidRPr="00862474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在各类媒体、特别是新媒体上的宣传推广次数、覆盖人次等情况。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62474" w:rsidRPr="00862474" w:rsidTr="00862474">
        <w:trPr>
          <w:trHeight w:val="575"/>
        </w:trPr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2474" w:rsidRPr="00862474" w:rsidRDefault="00862474" w:rsidP="00862474">
            <w:pPr>
              <w:widowControl/>
              <w:ind w:firstLine="480"/>
              <w:jc w:val="left"/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</w:pPr>
            <w:r w:rsidRPr="00862474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备注：请附社会效益评价考核支撑材料：1.艺术创作规划；2.年度工作计划；3.年度工作总结；4.年度演出剧目编创和演出人员名单；5.院团年度基本情况表；6、获奖证明、观众问卷、媒体文章等证明材料。</w:t>
            </w:r>
          </w:p>
        </w:tc>
      </w:tr>
    </w:tbl>
    <w:p w:rsidR="00862474" w:rsidRPr="00862474" w:rsidRDefault="00862474" w:rsidP="00862474">
      <w:pPr>
        <w:widowControl/>
        <w:jc w:val="left"/>
        <w:rPr>
          <w:rFonts w:ascii="Times New Roman" w:eastAsia="宋体" w:hAnsi="Times New Roman" w:cs="Times New Roman" w:hint="eastAsia"/>
          <w:kern w:val="0"/>
          <w:szCs w:val="21"/>
        </w:rPr>
      </w:pPr>
      <w:r w:rsidRPr="00862474">
        <w:rPr>
          <w:rFonts w:ascii="Times New Roman" w:eastAsia="宋体" w:hAnsi="Times New Roman" w:cs="Times New Roman"/>
          <w:noProof/>
          <w:kern w:val="0"/>
          <w:szCs w:val="21"/>
        </w:rPr>
        <w:drawing>
          <wp:inline distT="0" distB="0" distL="0" distR="0">
            <wp:extent cx="1264920" cy="967740"/>
            <wp:effectExtent l="0" t="0" r="0" b="3810"/>
            <wp:docPr id="1" name="图片 1" descr="C:\Users\masiwei\AppData\Local\Temp\ksohtml\wps_clip_image-17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iwei\AppData\Local\Temp\ksohtml\wps_clip_image-1750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8A1" w:rsidRPr="00862474" w:rsidRDefault="00E018A1" w:rsidP="00862474"/>
    <w:sectPr w:rsidR="00E018A1" w:rsidRPr="00862474" w:rsidSect="008624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74"/>
    <w:rsid w:val="00862474"/>
    <w:rsid w:val="00E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DAA26-FC64-4490-BF66-8446C0ED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86247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862474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8">
    <w:name w:val="p18"/>
    <w:basedOn w:val="a"/>
    <w:rsid w:val="00862474"/>
    <w:pPr>
      <w:widowControl/>
      <w:ind w:firstLine="420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2019-04-01T02:49:00Z</dcterms:created>
  <dcterms:modified xsi:type="dcterms:W3CDTF">2019-04-01T02:53:00Z</dcterms:modified>
</cp:coreProperties>
</file>