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中华人民共和国文物保护法</w:t>
      </w: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ind w:left="632" w:leftChars="200" w:right="632" w:rightChars="200"/>
        <w:textAlignment w:val="auto"/>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（1982年11月19日第五届全国人民代表大会常务委员会第二十五次会议通过　根据1991年6月29日第七届全国人民代表大会常务委员会第二十次会议《关于修改〈中华人民共和国文物保护法〉第三十条、第三十一条的决定》第一次修正　2002年10月28日第九届全国人民代表大会常务委员会第三十次会议第一次修订　根据2007年12月29日第十届全国人民代表大会常务委员会第三十一次会议《关于修改〈中华人民共和国文物保护法〉的决定》第二次修正　根据2013年6月29日第十二届全国人民代表大会常务委员会第三次会议《关于修改〈中华人民共和国文物保护法〉等十二部法律的决定》第三次修正　根据2015年4月24日第十二届全国人民代表大会常务委员会第十四次会议《关于修改〈中华人民共和国文物保护法〉的决定》第四次修正　根据2017年11月4日第十二届全国人民代表大会常务委员会第三十次会议《关于修改〈中华人民共和国会计法〉等十一部法律的决定》第五次修正　2024年11月8日第十四届全国人民代表大会常务委员会第十二次会议第二次修订）</w:t>
      </w:r>
    </w:p>
    <w:p>
      <w:pPr>
        <w:rPr>
          <w:rFonts w:ascii="Times New Roman" w:hAnsi="Times New Roman"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不可移动文物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考古发掘</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馆藏文物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民间收藏文物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文物出境进境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为了加强对文物的保护，传承中华民族优秀历史文化遗产，促进科学研究工作，进行爱国主义和革命传统教育，增强历史自觉、坚定文化自信，建设社会主义精神文明和物质文明，根据宪法，制定本法。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文物受国家保护。本法所称文物，是指人类创造的或者与人类活动有关的，具有历史、艺术、科学价值的下列物质遗存：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（一）古文化遗址、古墓葬、古建筑、石窟寺和古石刻、古壁画；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（二）与重大历史事件、革命运动或者著名人物有关的以及具有重要纪念意义、教育意义或者史料价值的近代现代重要史迹、实物、代表性建筑；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（三）历史上各时代珍贵的艺术品、工艺美术品；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（四）历史上各时代重要的文献资料、手稿和图书资料等；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（五）反映历史上各时代、各民族社会制度、社会生产、社会生活的代表性实物。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文物认定的主体、标准和程序，由国务院规定并公布。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具有科学价值的古脊椎动物化石和古人类化石同文物一样受国家保护。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文物分为不可移动文物和可移动文物。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古文化遗址、古墓葬、古建筑、石窟寺、古石刻、古壁画、近代现代重要史迹和代表性建筑等不可移动文物，分为文物保护单位和未核定公布为文物保护单位的不可移动文物（以下称未定级不可移动文物）；文物保护单位分为全国重点文物保护单位，省级文物保护单位，设区的市级、县级文物保护单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历史上各时代重要实物、艺术品、工艺美术品、文献资料、手稿、图书资料、代表性实物等可移动文物，分为珍贵文物和一般文物；珍贵文物分为一级文物、二级文物、三级文物。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文物工作坚持中国共产党的领导，坚持以社会主义核心价值观为引领，贯彻保护为主、抢救第一、合理利用、加强管理的方针。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中华人民共和国境内地下、内水和领海中遗存的一切文物，以及中国管辖的其他海域内遗存的起源于中国的和起源国不明的文物，属于国家所有。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古文化遗址、古墓葬、石窟寺属于国家所有。国家指定保护的纪念建筑物、古建筑、古石刻、古壁画、近代现代代表性建筑等不可移动文物，除国家另有规定的以外，属于国家所有。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国有不可移动文物的所有权不因其所依附的土地的所有权或者使用权的改变而改变。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下列可移动文物，属于国家所有：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（一）中国境内地下、内水和领海以及中国管辖的其他海域内出土、出水的文物，国家另有规定的除外；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（二）国有文物收藏单位以及其他国家机关、部队和国有企业、事业单位等收藏、保管的文物；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（三）国家征集、购买或者依法没收的文物；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（四）公民、组织捐赠给国家的文物；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（五）法律规定属于国家所有的其他文物。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国有可移动文物的所有权不因其收藏、保管单位的终止或者变更而改变。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国有文物所有权受法律保护，不容侵犯。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属于集体所有和私人所有的纪念建筑物、古建筑和祖传文物以及依法取得的其他文物，其所有权受法律保护。文物的所有者必须遵守国家有关文物保护的法律、法规的规定。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一切机关、组织和个人都有依法保护文物的义务。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国务院文物行政部门主管全国文物保护工作。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地方各级人民政府负责本行政区域内的文物保护工作。县级以上地方人民政府文物行政部门对本行政区域内的文物保护实施监督管理。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县级以上人民政府有关部门在各自的职责范围内，负责有关的文物保护工作。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国家发展文物保护事业，贯彻落实保护第一、加强管理、挖掘价值、有效利用、让文物活起来的工作要求。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文物是不可再生的文化资源。各级人民政府应当重视文物保护，正确处理经济建设、社会发展与文物保护的关系，确保文物安全。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基本建设、旅游发展必须把文物保护放在第一位，严格落实文物保护与安全管理规定，防止建设性破坏和过度商业化。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对与中国共产党各个历史时期重大事件、重要会议、重要人物和伟大建党精神等有关的文物，各级人民政府应当采取措施加强保护。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县级以上人民政府应当将文物保护事业纳入本级国民经济和社会发展规划，所需经费列入本级预算，确保文物保护事业发展与国民经济和社会发展水平相适应。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国有博物馆、纪念馆、文物保护单位等的事业性收入，纳入预算管理，用于文物保护事业，任何单位或者个人不得侵占、挪用。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国家鼓励通过捐赠等方式设立文物保护社会基金，专门用于文物保护，任何单位或者个人不得侵占、挪用。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县级以上人民政府及其文物行政部门应当加强文物普查和专项调查，全面掌握文物资源及保护情况。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县级以上人民政府文物行政部门加强对国有文物资源资产的动态管理，按照国家有关规定，及时报送国有文物资源资产管理情况的报告。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国家支持和规范文物价值挖掘阐释，促进中华文明起源与发展研究，传承中华优秀传统文化，弘扬革命文化，发展社会主义先进文化，铸牢中华民族共同体意识，提升中华文化影响力。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国家加强文物保护的宣传教育，创新传播方式，增强全民文物保护的意识，营造自觉传承中华民族优秀历史文化遗产的社会氛围。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新闻媒体应当开展文物保护法律法规和文物保护知识的宣传报道，并依法对危害文物安全、破坏文物的行为进行舆论监督。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博物馆、纪念馆、文物保管所、考古遗址公园等有关单位应当结合参观游览内容有针对性地开展文物保护宣传教育活动。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国家鼓励开展文物保护的科学研究，推广先进适用的文物保护技术，提高文物保护的科学技术水平。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国家加强文物保护信息化建设，鼓励开展文物保护数字化工作，推进文物资源数字化采集和展示利用。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国家加大考古、修缮、修复等文物保护专业人才培养力度，健全人才培养、使用、评价和激励机制。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国家鼓励开展文物利用研究，在确保文物安全的前提下，坚持社会效益优先，有效利用文物资源，提供多样化多层次的文化产品与服务。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国家健全社会参与机制，调动社会力量参与文化遗产保护的积极性，鼓励引导社会力量投入文化遗产保护。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国家支持开展考古、修缮、修复、展览、科学研究、执法、司法等文物保护国际交流与合作，促进人类文明交流互鉴。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县级以上人民政府文物行政部门或者有关部门应当公开投诉、举报方式等信息，及时受理并处理涉及文物保护的投诉、举报。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有下列事迹之一的单位或者个人，按照国家有关规定给予表彰、奖励：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（一）认真执行文物保护法律、法规，保护文物成绩显著的；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（二）为保护文物与违法犯罪行为作坚决斗争的；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（三）将收藏的重要文物捐献给国家或者向文物保护事业捐赠的；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（四）发现文物及时上报或者上交，使文物得到保护的；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（五）在考古发掘、文物价值挖掘阐释等工作中做出重大贡献的；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（六）在文物保护科学技术方面有重要发明创造或者其他重要贡献的；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（七）在文物面临破坏危险时，抢救文物有功的；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（八）长期从事文物工作，做出显著成绩的；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（九）组织、参与文物保护志愿服务，做出显著成绩的；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（十）在文物保护国际交流与合作中做出重大贡献的。</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不可移动文物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在文物普查、专项调查或者其他相关工作中发现的不可移动文物，应当及时核定公布为文物保护单位或者登记公布为未定级不可移动文物。公民、组织可以提出核定公布文物保护单位或者登记公布未定级不可移动文物的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国务院文物行政部门在省级和设区的市级、县级文物保护单位中，选择具有重大历史、艺术、科学价值的确定为全国重点文物保护单位，或者直接确定为全国重点文物保护单位，报国务院核定公布。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省级文物保护单位，由省、自治区、直辖市人民政府核定公布，并报国务院备案。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设区的市级和县级文物保护单位，分别由设区的市、自治州人民政府和县级人民政府核定公布，并报省、自治区、直辖市人民政府备案。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未定级不可移动文物，由县级人民政府文物行政部门登记，报本级人民政府和上一级人民政府文物行政部门备案，并向社会公布。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在旧城区改建、土地成片开发中，县级以上人民政府应当事先组织进行相关区域内不可移动文物调查，及时开展核定、登记、公布工作，并依法采取保护措施。未经调查，任何单位不得开工建设，防止建设性破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保存文物特别丰富并且具有重大历史价值或者革命纪念意义的城市，由国务院核定公布为历史文化名城。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保存文物特别丰富并且具有重大历史价值或者革命纪念意义的城镇、街道、村庄，由省、自治区、直辖市人民政府核定公布为历史文化街区、村镇，并报国务院备案。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历史文化名城和历史文化街区、村镇所在地县级以上地方人民政府应当组织编制专门的历史文化名城和历史文化街区、村镇保护规划，并纳入有关规划。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历史文化名城和历史文化街区、村镇的保护办法，由国务院制定。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文物保护单位，分别由省、自治区、直辖市人民政府和设区的市级、县级人民政府划定公布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未定级不可移动文物，由县级人民政府文物行政部门作出标志说明，建立记录档案，明确管理责任人。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县级以上地方人民政府文物行政部门应当根据不同文物的保护需要，制定文物保护单位和未定级不可移动文物的具体保护措施，向本级人民政府报告，并公告施行。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文物行政部门应当指导、鼓励基层群众性自治组织、志愿者等参与不可移动文物保护工作。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各级人民政府制定有关规划，应当根据文物保护的需要，事先由有关部门会同文物行政部门商定本行政区域内不可移动文物的保护措施，并纳入规划。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文物行政部门根据文物保护需要，组织编制本行政区域内不可移动文物的保护规划，经本级人民政府批准后公布实施，并报上一级人民政府文物行政部门备案；全国重点文物保护单位的保护规划由省、自治区、直辖市人民政府批准后公布实施，并报国务院文物行政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在文物保护单位的保护范围内不得进行文物保护工程以外的其他建设工程或者爆破、钻探、挖掘等作业；因特殊情况需要进行的，必须保证文物保护单位的安全。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特殊情况需要在省级或者设区的市级、县级文物保护单位的保护范围内进行前款规定的建设工程或者作业的，必须经核定公布该文物保护单位的人民政府批准，在批准前应当征得上一级人民政府文物行政部门同意；在全国重点文物保护单位的保护范围内进行前款规定的建设工程或者作业的，必须经省、自治区、直辖市人民政府批准，在批准前应当征得国务院文物行政部门同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根据保护文物的实际需要，经省、自治区、直辖市人民政府批准，可以在文物保护单位的周围划出一定的建设控制地带，并予以公布。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文物保护单位的建设控制地带内进行建设工程，不得破坏文物保护单位的历史风貌；工程设计方案应当根据文物保护单位的级别和建设工程对文物保护单位历史风貌的影响程度，经国家规定的文物行政部门同意后，依法取得建设工程规划许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文物保护单位的保护范围和建设控制地带内，不得建设污染文物保护单位及其环境的设施，不得进行可能影响文物保护单位安全及其环境的活动。对已有的污染文物保护单位及其环境的设施，依照生态环境有关法律法规的规定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建设工程选址，应当尽可能避开不可移动文物；因特殊情况不能避开的，应当尽可能实施原址保护。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原址保护的，建设单位应当事先确定原址保护措施，根据文物保护单位的级别报相应的文物行政部门批准；未定级不可移动文物的原址保护措施，报县级人民政府文物行政部门批准；未经批准的，不得开工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实施原址保护，省级或者设区的市级、县级文物保护单位需要迁移异地保护或者拆除的，应当报省、自治区、直辖市人民政府批准；迁移或者拆除省级文物保护单位的，批准前必须征得国务院文物行政部门同意。全国重点文物保护单位不得拆除；需要迁移的，必须由省、自治区、直辖市人民政府报国务院批准。未定级不可移动文物需要迁移异地保护或者拆除的，应当报省、自治区、直辖市人民政府文物行政部门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依照前款规定拆除国有不可移动文物，由文物行政部门监督实施，对具有收藏价值的壁画、雕塑、建筑构件等，由文物行政部门指定的文物收藏单位收藏。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本条规定的原址保护、迁移、拆除所需费用，由建设单位列入建设工程预算。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国有不可移动文物由使用人负责修缮、保养；非国有不可移动文物由所有人或者使用人负责修缮、保养，县级以上人民政府可以予以补助。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可移动文物有损毁危险，所有人或者使用人不具备修缮能力的，县级以上人民政府应当给予帮助；所有人或者使用人具备修缮能力但拒不依法履行修缮义务的，县级以上人民政府可以给予抢救修缮，所需费用由所有人或者使用人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对文物保护单位进行修缮，应当根据文物保护单位的级别报相应的文物行政部门批准；对未定级不可移动文物进行修缮，应当报县级人民政府文物行政部门批准。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文物保护单位的修缮、迁移、重建，由取得文物保护工程资质证书的单位承担。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对不可移动文物进行修缮、保养、迁移，必须遵守不改变文物原状和最小干预的原则，确保文物的真实性和完整性。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县级以上人民政府文物行政部门应当加强对不可移动文物保护的监督检查，及时发现问题隐患，防范安全风险，并督促指导不可移动文物所有人或者使用人履行保护职责。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不可移动文物已经全部毁坏的，应当严格实施遗址保护，不得在原址重建。因文物保护等特殊情况需要在原址重建的，由省、自治区、直辖市人民政府文物行政部门报省、自治区、直辖市人民政府批准；全国重点文物保护单位需要在原址重建的，由省、自治区、直辖市人民政府征得国务院文物行政部门同意后报国务院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国有文物保护单位中的纪念建筑物或者古建筑，除可以建立博物馆、文物保管所或者辟为参观游览场所外，改作其他用途的，设区的市级、县级文物保护单位应当经核定公布该文物保护单位的人民政府文物行政部门征得上一级人民政府文物行政部门同意后，报核定公布该文物保护单位的人民政府批准；省级文物保护单位应当经核定公布该文物保护单位的省、自治区、直辖市人民政府文物行政部门审核同意后，报省、自治区、直辖市人民政府批准；全国重点文物保护单位应当由省、自治区、直辖市人民政府报国务院批准。国有未定级不可移动文物改作其他用途的，应当报告县级人民政府文物行政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国有不可移动文物不得转让、抵押，国家另有规定的，依照其规定。建立博物馆、文物保管所或者辟为参观游览场所的国有不可移动文物，不得改作企业资产经营；其管理机构不得改由企业管理。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依托历史文化街区、村镇进行旅游等开发建设活动的，应当严格落实相关保护规划和保护措施，控制大规模搬迁，防止过度开发，加强整体保护和活态传承。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非国有不可移动文物不得转让、抵押给外国人、外国组织或者国际组织。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非国有不可移动文物转让、抵押或者改变用途的，应当报相应的文物行政部门备案。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县级以上人民政府及其有关部门应当采取措施，在确保文物安全的前提下，因地制宜推动不可移动文物有效利用。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文物保护单位应当尽可能向社会开放。文物保护单位向社会开放，应当合理确定开放时间和游客承载量，并向社会公布，积极为游客提供必要的便利。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为保护不可移动文物建立的博物馆、纪念馆、文物保管所、考古遗址公园等单位，应当加强对不可移动文物价值的挖掘阐释，开展有针对性的宣传讲解。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使用不可移动文物，必须遵守不改变文物原状和最小干预的原则，负责保护文物本体及其附属文物的安全，不得损毁、改建、添建或者拆除不可移动文物。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对危害不可移动文物安全、破坏不可移动文物历史风貌的建筑物、构筑物，当地人民政府应当及时调查处理；必要时，对该建筑物、构筑物依法予以拆除、迁移。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不可移动文物的所有人或者使用人应当加强用火、用电、用气等的消防安全管理，根据不可移动文物的特点，采取有针对性的消防安全措施，提高火灾预防和应急处置能力，确保文物安全。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省、自治区、直辖市人民政府可以将地下埋藏、水下遗存的文物分布较为集中，需要整体保护的区域划定为地下文物埋藏区、水下文物保护区，制定具体保护措施，并公告施行。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地下文物埋藏区、水下文物保护区涉及两个以上省、自治区、直辖市的，或者涉及中国领海以外由中国管辖的其他海域的，由国务院文物行政部门划定并制定具体保护措施，报国务院核定公布。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考古发掘</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一切考古发掘工作，必须履行报批手续；从事考古发掘的单位，应当取得国务院文物行政部门颁发的考古发掘资质证书。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地下埋藏和水下遗存的文物，任何单位或者个人都不得私自发掘。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在可能存在地下文物的区域，县级以上地方人民政府进行土地出让或者划拨前，应当由省、自治区、直辖市人民政府文物行政部门组织从事考古发掘的单位进行考古调查、勘探。可能存在地下文物的区域，由省、自治区、直辖市人民政府文物行政部门及时划定并动态调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进行大型基本建设工程，或者在文物保护单位的保护范围、建设控制地带内进行建设工程，未依照前款规定进行考古调查、勘探的，建设单位应当事先报请省、自治区、直辖市人民政府文物行政部门组织从事考古发掘的单位在工程范围内有可能埋藏文物的地方进行考古调查、勘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考古调查、勘探中发现文物的，由省、自治区、直辖市人民政府文物行政部门根据文物保护的要求与建设单位共同商定保护措施；遇有重要发现的，由省、自治区、直辖市人民政府文物行政部门及时报国务院文物行政部门处理。由此导致停工或者工期延长，造成建设单位损失的，由县级以上地方人民政府文物行政部门会同有关部门听取建设单位意见后，提出处理意见，报本级人民政府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需要配合进行考古发掘工作的，省、自治区、直辖市人民政府文物行政部门应当在勘探工作的基础上提出发掘计划，报国务院文物行政部门批准。国务院文物行政部门在批准前，应当征求社会科学研究机构及其他科研机构和有关专家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确因建设工期紧迫或者有自然破坏危险，对古文化遗址、古墓葬急需进行抢救发掘的，由省、自治区、直辖市人民政府文物行政部门组织发掘，并同时补办审批手续。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凡因进行基本建设和生产建设需要的考古调查、勘探、发掘，所需费用由建设单位列入建设工程预算。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县级以上人民政府可以通过适当方式对考古调查、勘探、发掘工作给予支持。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在建设工程、农业生产等活动中，任何单位或者个人发现文物或者疑似文物的，应当保护现场，立即报告当地文物行政部门；文物行政部门应当在接到报告后二十四小时内赶赴现场，并在七日内提出处理意见。文物行政部门应当采取措施保护现场，必要时可以通知公安机关或者海上执法机关协助；发现重要文物的，应当立即上报国务院文物行政部门，国务院文物行政部门应当在接到报告后十五日内提出处理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依照前款规定发现的文物属于国家所有，任何单位或者个人不得哄抢、私分、藏匿。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未经国务院文物行政部门报国务院特别许可，任何外国人、外国组织或者国际组织不得在中国境内进行考古调查、勘探、发掘。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考古调查、勘探、发掘的结果，应当如实报告国务院文物行政部门和省、自治区、直辖市人民政府文物行政部门。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考古发掘的文物，应当登记造册，妥善保管，按照国家有关规定及时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出水文物作为科研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考古发掘的文物和考古发掘资料，任何单位或者个人不得侵占。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根据保证文物安全、进行科学研究和充分发挥文物作用的需要，省、自治区、直辖市人民政府文物行政部门经本级人民政府批准，可以调用本行政区域内的出土、出水文物；国务院文物行政部门经国务院批准，可以调用全国的重要出土、出水文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馆藏文物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国家鼓励和支持文物收藏单位收藏、保护可移动文物，开展文物展览展示、宣传教育和科学研究等活动。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有关部门应当在设立条件、社会服务要求、财税扶持政策等方面，公平对待国有文物收藏单位和非国有文物收藏单位。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博物馆、图书馆和其他文物收藏单位对其收藏的文物（以下称馆藏文物），必须按照国家有关文物定级标准区分文物等级，设置档案，建立严格的管理制度，并报主管的文物行政部门备案。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县级以上地方人民政府文物行政部门应当建立本行政区域内的馆藏文物档案；国务院文物行政部门应当建立全国馆藏一级文物档案和其主管的国有文物收藏单位馆藏文物档案。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文物收藏单位可以通过下列方式取得文物：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（一）购买；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（二）接受捐赠；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（三）依法交换；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（四）法律、行政法规规定的其他方式。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国有文物收藏单位还可以通过文物行政部门指定收藏或者调拨方式取得文物。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文物收藏单位应当依法履行合理注意义务，对拟征集、购买文物来源的合法性进行了解、识别。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文物收藏单位应当根据馆藏文物的保护需要，按照国家有关规定建立、健全管理制度，并报主管的文物行政部门备案。未经批准，任何单位或者个人不得调取馆藏文物。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文物收藏单位的法定代表人或者主要负责人对馆藏文物的安全负责。文物收藏单位的法定代表人或者主要负责人离任时，应当按照馆藏文物档案办理馆藏文物移交手续。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国有文物收藏单位可以申请调拨国有馆藏文物。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文物收藏单位应当改善服务条件，提高服务水平，充分发挥馆藏文物的作用，通过举办展览、科学研究、文化创意等活动，加强对中华民族优秀的历史文化和革命传统的宣传教育；通过借用、交换、在线展览等方式，提高馆藏文物利用效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文物收藏单位应当为学校、科研机构开展有关教育教学、科学研究等活动提供支持和帮助。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博物馆应当按照国家有关规定向公众开放，合理确定开放时间和接待人数并向社会公布，采用多种形式提供科学、准确、生动的文字说明和讲解服务。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国有文物收藏单位之间因举办展览、科学研究等需借用馆藏文物的，应当报主管的文物行政部门备案；借用馆藏一级文物的，应当同时报国务院文物行政部门备案。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非国有文物收藏单位和其他单位举办展览需借用国有馆藏文物的，应当报主管的文物行政部门批准；借用国有馆藏一级文物的，应当经国务院文物行政部门批准。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文物收藏单位之间借用文物的，应当签订借用协议，协议约定的期限不得超过三年。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已经依照本法规定建立馆藏文物档案、管理制度的国有文物收藏单位之间可以交换馆藏文物；交换馆藏文物的，应当经省、自治区、直辖市人民政府文物行政部门批准，并报国务院文物行政部门备案。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未依照本法规定建立馆藏文物档案、管理制度的国有文物收藏单位，不得依照本法第五十五条至第五十七条的规定借用、交换其馆藏文物。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依法调拨、交换、借用馆藏文物，取得文物的文物收藏单位可以对提供文物的文物收藏单位给予合理补偿。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文物收藏单位调拨、交换、出借文物所得的补偿费用，必须用于改善文物的收藏条件和收集新的文物，不得挪作他用；任何单位或者个人不得侵占。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调拨、交换、借用的文物必须严格保管，不得丢失、损毁。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禁止国有文物收藏单位将馆藏文物赠与、出租、出售或者抵押、质押给其他单位、个人。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国有文物收藏单位不再收藏的文物退出馆藏的办法，由国务院文物行政部门制定并公布。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修复馆藏文物，不得改变馆藏文物的原状；复制、拍摄、拓印馆藏文物，不得对馆藏文物造成损害。修复、复制、拓印馆藏二级文物和馆藏三级文物的，应当报省、自治区、直辖市人民政府文物行政部门批准；修复、复制、拓印馆藏一级文物的，应当报国务院文物行政部门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不可移动文物的单体文物的修复、复制、拍摄、拓印，适用前款规定。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博物馆、图书馆和其他收藏文物的单位应当按照国家有关规定配备防火、防盗、防自然损坏的设施，并采取相应措施，确保收藏文物的安全。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馆藏文物被盗、被抢或者丢失的，文物收藏单位应当立即向公安机关报案，并同时向主管的文物行政部门报告。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文物行政部门和国有文物收藏单位的工作人员不得借用国有文物，不得非法侵占国有文物。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民间收藏文物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国家鼓励公民、组织合法收藏，加强对民间收藏活动的指导、管理和服务。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文物收藏单位以外的公民、组织可以收藏通过下列方式取得的文物：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（一）依法继承或者接受赠与；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（二）从文物销售单位购买；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（三）通过经营文物拍卖的拍卖企业（以下称文物拍卖企业）购买；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（四）公民个人合法所有的文物相互交换或者依法转让；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（五）国家规定的其他合法方式。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文物收藏单位以外的公民、组织收藏的前款文物可以依法流通。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禁止买卖下列文物：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（一）国有文物，但是国家允许的除外；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（二）国有不可移动文物中的壁画、雕塑、建筑构件等，但是依法拆除的国有不可移动文物中的壁画、雕塑、建筑构件等不属于本法第三十一条第四款规定的应由文物收藏单位收藏的除外；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（三）非国有馆藏珍贵文物；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（四）国务院有关部门通报或者公告的被盗文物以及其他来源不符合本法第六十七条规定的文物；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（五）外国政府、相关国际组织按照有关国际公约通报或者公告的流失文物。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国家鼓励文物收藏单位以外的公民、组织将其收藏的文物捐赠给文物收藏单位或者出借给文物收藏单位展览和研究。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文物收藏单位应当尊重并按照捐赠人的意愿，对受赠的文物妥善收藏、保管和展示。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国家禁止出境的文物，不得转让、出租、抵押、质押给境外组织或者个人。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文物销售单位应当取得省、自治区、直辖市人民政府文物行政部门颁发的文物销售许可证。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文物销售单位不得从事文物拍卖经营活动，不得设立文物拍卖企业。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依法设立的拍卖企业经营文物拍卖的，应当取得省、自治区、直辖市人民政府文物行政部门颁发的文物拍卖许可证。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文物拍卖企业不得从事文物销售经营活动，不得设立文物销售单位。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文物行政部门的工作人员不得举办或者参与举办文物销售单位或者文物拍卖企业。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文物收藏单位及其工作人员不得举办或者参与举办文物销售单位或者文物拍卖企业。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禁止设立外商投资的文物销售单位或者文物拍卖企业。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除文物销售单位、文物拍卖企业外，其他单位或者个人不得从事文物商业经营活动。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文物销售单位不得销售、文物拍卖企业不得拍卖本法第六十八条规定的文物。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文物拍卖企业拍卖的文物，在拍卖前应当经省、自治区、直辖市人民政府文物行政部门依照前款规定进行审核，并报国务院文物行政部门备案。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文物销售单位销售文物、文物拍卖企业拍卖文物，应当如实表述文物的相关信息，不得进行虚假宣传。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省、自治区、直辖市人民政府文物行政部门应当建立文物购销、拍卖信息与信用管理系统，推动文物流通领域诚信建设。文物销售单位购买、销售文物，文物拍卖企业拍卖文物，应当按照国家有关规定作出记录，并于销售、拍卖文物后三十日内报省、自治区、直辖市人民政府文物行政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拍卖文物时，委托人、买受人要求对其身份保密的，文物行政部门应当为其保密；法律、行政法规另有规定的除外。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文物行政部门在审核拟拍卖的文物时，可以指定国有文物收藏单位优先购买其中的珍贵文物。购买价格由国有文物收藏单位的代表与文物的委托人协商确定。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银行、冶炼厂、造纸厂以及废旧物资回收单位，应当与当地文物行政部门共同负责拣选掺杂在金银器和废旧物资中的文物。拣选文物除供银行研究所必需的历史货币可以由中国人民银行留用外，应当移交当地文物行政部门。移交拣选文物，应当给予合理补偿。</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文物出境进境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国有文物、非国有文物中的珍贵文物和国家禁止出境的其他文物，不得出境；依照本法规定出境展览，或者因特殊需要经国务院批准出境的除外。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国家禁止出境的文物的具体范围，由国务院文物行政部门规定并公布。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文物出境，应当经国务院文物行政部门指定的文物进出境审核机构审核。经审核允许出境的文物，由国务院文物行政部门颁发文物出境许可证，从国务院文物行政部门指定的口岸出境。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任何单位或者个人运送、邮寄、携带文物出境，应当向海关申报；海关凭文物出境许可证放行。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文物出境展览，应当报国务院文物行政部门批准；一级文物超过国务院规定数量的，应当报国务院批准。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一级文物中的孤品和易损品，禁止出境展览。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出境展览的文物出境，由文物进出境审核机构审核、登记。海关凭国务院文物行政部门或者国务院的批准文件放行。出境展览的文物复进境，由原审核、登记的文物进出境审核机构审核查验。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文物临时进境，应当向海关申报，并报文物进出境审核机构审核、登记。文物进出境审核机构发现临时进境的文物属于本法第六十八条规定的文物的，应当向国务院文物行政部门报告并通报海关。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临时进境的文物复出境，必须经原审核、登记的文物进出境审核机构审核查验；经审核查验无误的，由国务院文物行政部门颁发文物出境许可证，海关凭文物出境许可证放行。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国家加强文物追索返还领域的国际合作。国务院文物行政部门依法会同有关部门对因被盗、非法出境等流失境外的文物开展追索；对非法流入中国境内的外国文物，根据有关条约、协定、协议或者对等原则与相关国家开展返还合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国家对于因被盗、非法出境等流失境外的文物，保留收回的权利，且该权利不受时效限制。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违反本法规定，地方各级人民政府和县级以上人民政府有关部门及其工作人员，以及其他依法履行公职的人员，滥用职权、玩忽职守、徇私舞弊的，对负有责任的领导人员和直接责任人员依法给予处分。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有下列行为之一的，由县级以上人民政府文物行政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（一）擅自在文物保护单位的保护范围内进行文物保护工程以外的其他建设工程或者爆破、钻探、挖掘等作业；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（二）工程设计方案未经文物行政部门同意，擅自在文物保护单位的建设控制地带内进行建设工程；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（三）未制定不可移动文物原址保护措施，或者不可移动文物原址保护措施未经文物行政部门批准，擅自开工建设；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（四）擅自迁移、拆除不可移动文物；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（五）擅自修缮不可移动文物，明显改变文物原状；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（六）擅自在原址重建已经全部毁坏的不可移动文物；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（七）未取得文物保护工程资质证书，擅自从事文物修缮、迁移、重建；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（八）进行大型基本建设工程，或者在文物保护单位的保护范围、建设控制地带内进行建设工程，未依法进行考古调查、勘探。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损毁依照本法规定设立的不可移动文物保护标志的，由县级以上人民政府文物行政部门给予警告，可以并处五百元以下的罚款。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在文物保护单位的保护范围或者建设控制地带内建设污染文物保护单位及其环境的设施的，由生态环境主管部门依法给予处罚。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（一）转让或者抵押国有不可移动文物；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（二）将建立博物馆、文物保管所或者辟为参观游览场所的国有不可移动文物改作企业资产经营，或者将其管理机构改由企业管理；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（三）将非国有不可移动文物转让或者抵押给外国人、外国组织或者国际组织；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（四）擅自改变国有文物保护单位中的纪念建筑物或者古建筑的用途。</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历史文化名城的布局、环境、历史风貌等遭到严重破坏的，由国务院撤销其历史文化名城称号；历史文化街区、村镇的布局、环境、历史风貌等遭到严重破坏的，由省、自治区、直辖市人民政府撤销其历史文化街区、村镇称号；对负有责任的领导人员和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有下列行为之一的，由县级以上人民政府文物行政部门责令改正，给予警告或者通报批评，没收违法所得；违法所得五千元以上的，并处违法所得二倍以上十倍以下的罚款；没有违法所得或者违法所得不足五千元的，可以并处五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（一）文物收藏单位未按照国家有关规定配备防火、防盗、防自然损坏的设施；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（二）文物收藏单位法定代表人或者主要负责人离任时未按照馆藏文物档案移交馆藏文物，或者所移交的馆藏文物与馆藏文物档案不符；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（三）国有文物收藏单位将馆藏文物赠与、出租、出售或者抵押、质押给其他单位、个人；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（四）违反本法规定借用、交换馆藏文物；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（五）挪用或者侵占依法调拨、交换、出借文物所得的补偿费用。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销售单位、文物拍卖企业有前款规定的违法行为的，由县级以上人民政府文物行政部门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（一）文物销售单位从事文物拍卖经营活动；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（二）文物拍卖企业从事文物销售经营活动；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（三）文物拍卖企业拍卖的文物，未经审核；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（四）文物收藏单位从事文物商业经营活动；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（五）文物销售单位、文物拍卖企业知假售假、知假拍假或者进行虚假宣传。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有下列行为之一的，由县级以上人民政府文物行政部门会同公安机关、海上执法机关追缴文物，给予警告；情节严重的，对单位处十万元以上三百万元以下的罚款，对个人处五千元以上五万元以下的罚款：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（一）发现文物隐匿不报或者拒不上交；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（二）未按照规定移交拣选文物。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第九十二条</w:t>
      </w:r>
      <w:r>
        <w:rPr>
          <w:rFonts w:hint="eastAsia" w:ascii="Times New Roman" w:hAnsi="Times New Roman" w:cs="仿宋_GB2312"/>
          <w:sz w:val="32"/>
          <w:szCs w:val="32"/>
        </w:rPr>
        <w:t>　文物进出境未依照本法规定申报的，由海关或者海上执法机关依法给予处罚。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第九十三条</w:t>
      </w:r>
      <w:r>
        <w:rPr>
          <w:rFonts w:hint="eastAsia" w:ascii="Times New Roman" w:hAnsi="Times New Roman" w:cs="仿宋_GB2312"/>
          <w:sz w:val="32"/>
          <w:szCs w:val="32"/>
        </w:rPr>
        <w:t>　有下列行为之一的，由县级以上人民政府文物行政部门责令改正；情节严重的，对单位处十万元以上三百万元以下的罚款，限制业务活动或者由原发证机关吊销许可证书，对个人处五千元以上五万元以下的罚款：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（一）改变国有未定级不可移动文物的用途，未依照本法规定报告；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（二）转让、抵押非国有不可移动文物或者改变其用途，未依照本法规定备案；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（三）国有不可移动文物的使用人具备修缮能力但拒不依法履行修缮义务；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（四）从事考古发掘的单位未经批准擅自进行考古发掘，或者不如实报告考古调查、勘探、发掘结果，或者未按照规定移交考古发掘的文物；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（五）文物收藏单位未按照国家有关规定建立馆藏文物档案、管理制度，或者未将馆藏文物档案、管理制度备案；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（六）未经批准擅自调取馆藏文物；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（七）未经批准擅自修复、复制、拓印文物；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（八）馆藏文物损毁未报文物行政部门核查处理，或者馆藏文物被盗、被抢或者丢失，文物收藏单位未及时向公安机关或者文物行政部门报告；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（九）文物销售单位销售文物或者文物拍卖企业拍卖文物，未按照国家有关规定作出记录或者未将所作记录报文物行政部门备案。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第九十四条</w:t>
      </w:r>
      <w:r>
        <w:rPr>
          <w:rFonts w:hint="eastAsia" w:ascii="Times New Roman" w:hAnsi="Times New Roman" w:cs="仿宋_GB2312"/>
          <w:sz w:val="32"/>
          <w:szCs w:val="32"/>
        </w:rPr>
        <w:t>　文物行政部门、文物收藏单位、文物销售单位、文物拍卖企业的工作人员，有下列行为之一的，依法给予处分；情节严重的，依法开除公职或者吊销其从业资格证书：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（一）文物行政部门和国有文物收藏单位的工作人员借用或者非法侵占国有文物；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（二）文物行政部门、文物收藏单位的工作人员举办或者参与举办文物销售单位或者文物拍卖企业；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（三）因不负责任造成文物保护单位、珍贵文物损毁或者流失；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（四）贪污、挪用文物保护经费。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前款被开除公职或者被吊销从业资格证书的人员，自被开除公职或者被吊销从业资格证书之日起十年内不得担任文物管理人员或者从事文物经营活动。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第九十五条</w:t>
      </w:r>
      <w:r>
        <w:rPr>
          <w:rFonts w:hint="eastAsia" w:ascii="Times New Roman" w:hAnsi="Times New Roman" w:cs="仿宋_GB2312"/>
          <w:sz w:val="32"/>
          <w:szCs w:val="32"/>
        </w:rPr>
        <w:t>　单位违反本法规定受到行政处罚，情节严重的，对单位直接负责的主管人员和其他直接责任人员处五千元以上五万元以下的罚款。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第九十六条</w:t>
      </w:r>
      <w:r>
        <w:rPr>
          <w:rFonts w:hint="eastAsia" w:ascii="Times New Roman" w:hAnsi="Times New Roman" w:cs="仿宋_GB2312"/>
          <w:sz w:val="32"/>
          <w:szCs w:val="32"/>
        </w:rPr>
        <w:t>　违反本法规定，损害他人民事权益的，依法承担民事责任；构成违反治安管理行为的，由公安机关依法给予治安管理处罚；构成犯罪的，依法追究刑事责任。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第九十七条</w:t>
      </w:r>
      <w:r>
        <w:rPr>
          <w:rFonts w:hint="eastAsia" w:ascii="Times New Roman" w:hAnsi="Times New Roman" w:cs="仿宋_GB2312"/>
          <w:sz w:val="32"/>
          <w:szCs w:val="32"/>
        </w:rPr>
        <w:t>　县级以上人民政府文物行政部门依法实施监督检查，可以采取下列措施：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（一）进入现场进行检查；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（二）查阅、复制有关文件资料，询问有关人员，对可能被转移、销毁或者篡改的文件资料予以封存；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（三）查封、扣押涉嫌违法活动的场所、设施或者财物；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（四）责令行为人停止侵害文物的行为。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第九十八条</w:t>
      </w:r>
      <w:r>
        <w:rPr>
          <w:rFonts w:hint="eastAsia" w:ascii="Times New Roman" w:hAnsi="Times New Roman" w:cs="仿宋_GB2312"/>
          <w:sz w:val="32"/>
          <w:szCs w:val="32"/>
        </w:rPr>
        <w:t>　监察委员会、人民法院、人民检察院、公安机关、海关、市场监督管理部门和海上执法机关依法没收的文物应当登记造册，妥善保管，结案后无偿移交文物行政部门，由文物行政部门指定的国有文物收藏单位收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第九十九条</w:t>
      </w:r>
      <w:r>
        <w:rPr>
          <w:rFonts w:hint="eastAsia" w:ascii="Times New Roman" w:hAnsi="Times New Roman" w:cs="仿宋_GB2312"/>
          <w:sz w:val="32"/>
          <w:szCs w:val="32"/>
        </w:rPr>
        <w:t>　因违反本法规定造成文物严重损害或者存在严重损害风险，致使社会公共利益受到侵害的，人民检察院可以依照有关诉讼法的规定提起公益诉讼。</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第一百条</w:t>
      </w:r>
      <w:r>
        <w:rPr>
          <w:rFonts w:hint="eastAsia" w:ascii="Times New Roman" w:hAnsi="Times New Roman" w:cs="仿宋_GB2312"/>
          <w:sz w:val="32"/>
          <w:szCs w:val="32"/>
        </w:rPr>
        <w:t>　文物保护有关行政许可的条件、期限等，本法未作规定的，适用《中华人民共和国行政许可法》和有关法律、行政法规的规定。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第一百零一条</w:t>
      </w:r>
      <w:r>
        <w:rPr>
          <w:rFonts w:hint="eastAsia" w:ascii="Times New Roman" w:hAnsi="Times New Roman" w:cs="仿宋_GB2312"/>
          <w:sz w:val="32"/>
          <w:szCs w:val="32"/>
        </w:rPr>
        <w:t>　本法自2025年3月1日起施行。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方正黑体_GBK">
    <w:panose1 w:val="02000000000000000000"/>
    <w:charset w:val="86"/>
    <w:family w:val="script"/>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CESI小标宋-GB18030">
    <w:altName w:val="方正小标宋_GBK"/>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FE178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 w:val="DFFFD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15989</Words>
  <Characters>16027</Characters>
  <Lines>87</Lines>
  <Paragraphs>24</Paragraphs>
  <TotalTime>6</TotalTime>
  <ScaleCrop>false</ScaleCrop>
  <LinksUpToDate>false</LinksUpToDate>
  <CharactersWithSpaces>16161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whhlyb</cp:lastModifiedBy>
  <cp:lastPrinted>2024-07-19T09:09:00Z</cp:lastPrinted>
  <dcterms:modified xsi:type="dcterms:W3CDTF">2025-03-10T14:13:11Z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3E1319E252E94936852EDDD781AAD0D7_13</vt:lpwstr>
  </property>
  <property fmtid="{D5CDD505-2E9C-101B-9397-08002B2CF9AE}" pid="3" name="KSOProductBuildVer">
    <vt:lpwstr>2052-11.8.2.10125</vt:lpwstr>
  </property>
</Properties>
</file>