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方正小标宋简体" w:eastAsia="方正小标宋简体"/>
          <w:sz w:val="44"/>
          <w:szCs w:val="44"/>
        </w:rPr>
      </w:pPr>
      <w:r>
        <w:rPr>
          <w:rFonts w:hint="eastAsia" w:ascii="方正小标宋简体" w:eastAsia="方正小标宋简体"/>
          <w:sz w:val="44"/>
          <w:szCs w:val="44"/>
        </w:rPr>
        <w:t>文物认定管理暂行办法</w:t>
      </w:r>
    </w:p>
    <w:p>
      <w:pPr>
        <w:jc w:val="center"/>
        <w:rPr>
          <w:rFonts w:hint="eastAsia" w:ascii="方正小标宋简体" w:eastAsia="方正小标宋简体"/>
          <w:sz w:val="44"/>
          <w:szCs w:val="44"/>
        </w:rPr>
      </w:pPr>
      <w:bookmarkStart w:id="0" w:name="_GoBack"/>
      <w:bookmarkEnd w:id="0"/>
    </w:p>
    <w:p>
      <w:pPr>
        <w:jc w:val="center"/>
        <w:rPr>
          <w:rFonts w:hint="eastAsia" w:ascii="黑体" w:hAnsi="黑体" w:eastAsia="黑体"/>
          <w:sz w:val="32"/>
          <w:szCs w:val="32"/>
        </w:rPr>
      </w:pPr>
      <w:r>
        <w:rPr>
          <w:rFonts w:hint="eastAsia" w:ascii="黑体" w:hAnsi="黑体" w:eastAsia="黑体"/>
          <w:sz w:val="32"/>
          <w:szCs w:val="32"/>
        </w:rPr>
        <w:t>中华人民共和国文化部令 第46号</w:t>
      </w:r>
    </w:p>
    <w:p>
      <w:pPr>
        <w:keepNext w:val="0"/>
        <w:keepLines w:val="0"/>
        <w:pageBreakBefore w:val="0"/>
        <w:widowControl/>
        <w:shd w:val="clear" w:color="auto" w:fill="FFFFFF"/>
        <w:kinsoku/>
        <w:wordWrap/>
        <w:overflowPunct/>
        <w:topLinePunct w:val="0"/>
        <w:autoSpaceDE/>
        <w:autoSpaceDN/>
        <w:bidi w:val="0"/>
        <w:adjustRightInd/>
        <w:snapToGrid/>
        <w:ind w:firstLine="640" w:firstLineChars="200"/>
        <w:jc w:val="left"/>
        <w:textAlignment w:val="auto"/>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rPr>
        <w:t>《文物认定管理暂行办法》已经2009年8月5日文化部部务会议审议通过，现予发布，自2009年10月1日起施行。</w:t>
      </w:r>
    </w:p>
    <w:p>
      <w:pPr>
        <w:keepNext w:val="0"/>
        <w:keepLines w:val="0"/>
        <w:pageBreakBefore w:val="0"/>
        <w:widowControl/>
        <w:shd w:val="clear" w:color="auto" w:fill="FFFFFF"/>
        <w:kinsoku/>
        <w:wordWrap w:val="0"/>
        <w:overflowPunct/>
        <w:topLinePunct w:val="0"/>
        <w:autoSpaceDE/>
        <w:autoSpaceDN/>
        <w:bidi w:val="0"/>
        <w:adjustRightInd/>
        <w:snapToGrid/>
        <w:ind w:firstLine="640" w:firstLineChars="200"/>
        <w:jc w:val="right"/>
        <w:textAlignment w:val="auto"/>
        <w:rPr>
          <w:rFonts w:hint="default" w:ascii="仿宋_GB2312" w:hAnsi="宋体" w:eastAsia="仿宋_GB2312" w:cs="宋体"/>
          <w:color w:val="333333"/>
          <w:kern w:val="0"/>
          <w:sz w:val="32"/>
          <w:szCs w:val="24"/>
          <w:lang w:val="en-US" w:eastAsia="zh-CN"/>
        </w:rPr>
      </w:pPr>
      <w:r>
        <w:rPr>
          <w:rFonts w:hint="eastAsia" w:ascii="仿宋_GB2312" w:hAnsi="宋体" w:eastAsia="仿宋_GB2312" w:cs="宋体"/>
          <w:color w:val="333333"/>
          <w:kern w:val="0"/>
          <w:sz w:val="32"/>
          <w:szCs w:val="24"/>
        </w:rPr>
        <w:t> </w:t>
      </w:r>
      <w:r>
        <w:rPr>
          <w:rFonts w:hint="eastAsia" w:ascii="仿宋_GB2312" w:hAnsi="宋体" w:eastAsia="仿宋_GB2312" w:cs="宋体"/>
          <w:color w:val="333333"/>
          <w:kern w:val="0"/>
          <w:sz w:val="32"/>
          <w:szCs w:val="24"/>
        </w:rPr>
        <w:br w:type="textWrapping"/>
      </w:r>
      <w:r>
        <w:rPr>
          <w:rFonts w:hint="eastAsia" w:ascii="仿宋_GB2312" w:hAnsi="宋体" w:eastAsia="仿宋_GB2312" w:cs="宋体"/>
          <w:color w:val="333333"/>
          <w:kern w:val="0"/>
          <w:sz w:val="32"/>
          <w:szCs w:val="24"/>
        </w:rPr>
        <w:t>蔡 武</w:t>
      </w:r>
      <w:r>
        <w:rPr>
          <w:rFonts w:hint="eastAsia" w:ascii="仿宋_GB2312" w:hAnsi="宋体" w:eastAsia="仿宋_GB2312" w:cs="宋体"/>
          <w:color w:val="333333"/>
          <w:kern w:val="0"/>
          <w:sz w:val="32"/>
          <w:szCs w:val="24"/>
          <w:lang w:val="en-US" w:eastAsia="zh-CN"/>
        </w:rPr>
        <w:t xml:space="preserve">      </w:t>
      </w:r>
    </w:p>
    <w:p>
      <w:pPr>
        <w:keepNext w:val="0"/>
        <w:keepLines w:val="0"/>
        <w:pageBreakBefore w:val="0"/>
        <w:widowControl/>
        <w:shd w:val="clear" w:color="auto" w:fill="FFFFFF"/>
        <w:kinsoku/>
        <w:wordWrap/>
        <w:overflowPunct/>
        <w:topLinePunct w:val="0"/>
        <w:autoSpaceDE/>
        <w:autoSpaceDN/>
        <w:bidi w:val="0"/>
        <w:adjustRightInd/>
        <w:snapToGrid/>
        <w:ind w:firstLine="640" w:firstLineChars="200"/>
        <w:jc w:val="right"/>
        <w:textAlignment w:val="auto"/>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rPr>
        <w:t>二</w:t>
      </w:r>
      <w:r>
        <w:rPr>
          <w:rFonts w:hint="eastAsia" w:ascii="仿宋_GB2312" w:hAnsi="宋体" w:eastAsia="仿宋_GB2312" w:cs="宋体"/>
          <w:color w:val="333333"/>
          <w:kern w:val="0"/>
          <w:sz w:val="32"/>
          <w:szCs w:val="24"/>
        </w:rPr>
        <w:t>〇</w:t>
      </w:r>
      <w:r>
        <w:rPr>
          <w:rFonts w:hint="eastAsia" w:ascii="仿宋_GB2312" w:hAnsi="宋体" w:eastAsia="仿宋_GB2312" w:cs="宋体"/>
          <w:color w:val="333333"/>
          <w:kern w:val="0"/>
          <w:sz w:val="32"/>
          <w:szCs w:val="24"/>
        </w:rPr>
        <w:t>〇</w:t>
      </w:r>
      <w:r>
        <w:rPr>
          <w:rFonts w:hint="eastAsia" w:ascii="仿宋_GB2312" w:hAnsi="宋体" w:eastAsia="仿宋_GB2312" w:cs="宋体"/>
          <w:color w:val="333333"/>
          <w:kern w:val="0"/>
          <w:sz w:val="32"/>
          <w:szCs w:val="24"/>
        </w:rPr>
        <w:t>九年八月十日</w:t>
      </w:r>
    </w:p>
    <w:p>
      <w:pPr>
        <w:jc w:val="center"/>
        <w:rPr>
          <w:rFonts w:hint="eastAsia" w:ascii="黑体" w:hAnsi="黑体" w:eastAsia="黑体"/>
          <w:sz w:val="32"/>
          <w:szCs w:val="32"/>
        </w:rPr>
      </w:pPr>
      <w:r>
        <w:rPr>
          <w:rFonts w:hint="eastAsia" w:ascii="仿宋_GB2312" w:hAnsi="宋体" w:eastAsia="仿宋_GB2312" w:cs="宋体"/>
          <w:color w:val="333333"/>
          <w:kern w:val="0"/>
          <w:sz w:val="32"/>
          <w:szCs w:val="24"/>
        </w:rPr>
        <w:t> </w:t>
      </w:r>
      <w:r>
        <w:rPr>
          <w:rFonts w:hint="eastAsia" w:ascii="仿宋_GB2312" w:hAnsi="宋体" w:eastAsia="仿宋_GB2312" w:cs="宋体"/>
          <w:color w:val="333333"/>
          <w:kern w:val="0"/>
          <w:sz w:val="32"/>
          <w:szCs w:val="24"/>
        </w:rPr>
        <w:br w:type="textWrapping"/>
      </w:r>
      <w:r>
        <w:rPr>
          <w:rFonts w:hint="eastAsia" w:ascii="黑体" w:hAnsi="黑体" w:eastAsia="黑体"/>
          <w:sz w:val="32"/>
          <w:szCs w:val="32"/>
        </w:rPr>
        <w:t>文物认定管理暂行办法</w:t>
      </w:r>
    </w:p>
    <w:p>
      <w:pPr>
        <w:keepNext w:val="0"/>
        <w:keepLines w:val="0"/>
        <w:pageBreakBefore w:val="0"/>
        <w:widowControl/>
        <w:shd w:val="clear" w:color="auto" w:fill="FFFFFF"/>
        <w:kinsoku/>
        <w:wordWrap/>
        <w:overflowPunct/>
        <w:topLinePunct w:val="0"/>
        <w:autoSpaceDE/>
        <w:autoSpaceDN/>
        <w:bidi w:val="0"/>
        <w:adjustRightInd/>
        <w:snapToGrid/>
        <w:ind w:firstLine="640" w:firstLineChars="200"/>
        <w:jc w:val="left"/>
        <w:textAlignment w:val="auto"/>
        <w:rPr>
          <w:rFonts w:hint="eastAsia" w:ascii="仿宋_GB2312" w:hAnsi="宋体" w:eastAsia="仿宋_GB2312" w:cs="宋体"/>
          <w:color w:val="333333"/>
          <w:kern w:val="0"/>
          <w:sz w:val="32"/>
          <w:szCs w:val="24"/>
        </w:rPr>
      </w:pPr>
      <w:r>
        <w:rPr>
          <w:rFonts w:hint="eastAsia" w:ascii="黑体" w:hAnsi="黑体" w:eastAsia="黑体"/>
          <w:sz w:val="32"/>
          <w:szCs w:val="32"/>
        </w:rPr>
        <w:t>第一条</w:t>
      </w:r>
      <w:r>
        <w:rPr>
          <w:rFonts w:hint="eastAsia" w:ascii="仿宋_GB2312" w:hAnsi="宋体" w:eastAsia="仿宋_GB2312" w:cs="宋体"/>
          <w:color w:val="333333"/>
          <w:kern w:val="0"/>
          <w:sz w:val="32"/>
          <w:szCs w:val="24"/>
        </w:rPr>
        <w:t xml:space="preserve"> 为规范文物认定管理工作，根据《中华人民共和国文物保护法》制定本办法。</w:t>
      </w:r>
    </w:p>
    <w:p>
      <w:pPr>
        <w:keepNext w:val="0"/>
        <w:keepLines w:val="0"/>
        <w:pageBreakBefore w:val="0"/>
        <w:widowControl/>
        <w:shd w:val="clear" w:color="auto" w:fill="FFFFFF"/>
        <w:kinsoku/>
        <w:wordWrap/>
        <w:overflowPunct/>
        <w:topLinePunct w:val="0"/>
        <w:autoSpaceDE/>
        <w:autoSpaceDN/>
        <w:bidi w:val="0"/>
        <w:adjustRightInd/>
        <w:snapToGrid/>
        <w:ind w:firstLine="640" w:firstLineChars="200"/>
        <w:jc w:val="left"/>
        <w:textAlignment w:val="auto"/>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rPr>
        <w:t>本办法所称文物认定，是指文物行政部门将具有历史、艺术、科学价值的文化资源确认为文物的行政行为。</w:t>
      </w:r>
    </w:p>
    <w:p>
      <w:pPr>
        <w:keepNext w:val="0"/>
        <w:keepLines w:val="0"/>
        <w:pageBreakBefore w:val="0"/>
        <w:widowControl/>
        <w:shd w:val="clear" w:color="auto" w:fill="FFFFFF"/>
        <w:kinsoku/>
        <w:wordWrap/>
        <w:overflowPunct/>
        <w:topLinePunct w:val="0"/>
        <w:autoSpaceDE/>
        <w:autoSpaceDN/>
        <w:bidi w:val="0"/>
        <w:adjustRightInd/>
        <w:snapToGrid/>
        <w:ind w:firstLine="640" w:firstLineChars="200"/>
        <w:jc w:val="left"/>
        <w:textAlignment w:val="auto"/>
        <w:rPr>
          <w:rFonts w:hint="eastAsia" w:ascii="仿宋_GB2312" w:hAnsi="宋体" w:eastAsia="仿宋_GB2312" w:cs="宋体"/>
          <w:color w:val="333333"/>
          <w:kern w:val="0"/>
          <w:sz w:val="32"/>
          <w:szCs w:val="24"/>
        </w:rPr>
      </w:pPr>
      <w:r>
        <w:rPr>
          <w:rFonts w:hint="eastAsia" w:ascii="黑体" w:hAnsi="黑体" w:eastAsia="黑体"/>
          <w:sz w:val="32"/>
          <w:szCs w:val="32"/>
        </w:rPr>
        <w:t>第二条</w:t>
      </w:r>
      <w:r>
        <w:rPr>
          <w:rFonts w:hint="eastAsia" w:ascii="仿宋_GB2312" w:hAnsi="宋体" w:eastAsia="仿宋_GB2312" w:cs="宋体"/>
          <w:color w:val="333333"/>
          <w:kern w:val="0"/>
          <w:sz w:val="32"/>
          <w:szCs w:val="24"/>
        </w:rPr>
        <w:t xml:space="preserve"> 《中华人民共和国文物保护法》第二条第一款所列各项，应当认定为文物。</w:t>
      </w:r>
    </w:p>
    <w:p>
      <w:pPr>
        <w:keepNext w:val="0"/>
        <w:keepLines w:val="0"/>
        <w:pageBreakBefore w:val="0"/>
        <w:widowControl/>
        <w:shd w:val="clear" w:color="auto" w:fill="FFFFFF"/>
        <w:kinsoku/>
        <w:wordWrap/>
        <w:overflowPunct/>
        <w:topLinePunct w:val="0"/>
        <w:autoSpaceDE/>
        <w:autoSpaceDN/>
        <w:bidi w:val="0"/>
        <w:adjustRightInd/>
        <w:snapToGrid/>
        <w:ind w:firstLine="640" w:firstLineChars="200"/>
        <w:jc w:val="left"/>
        <w:textAlignment w:val="auto"/>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rPr>
        <w:t>乡土建筑、工业遗产、农业遗产、商业老字号、文化线路、文化景观等特殊类型文物，按照本办法认定。</w:t>
      </w:r>
    </w:p>
    <w:p>
      <w:pPr>
        <w:keepNext w:val="0"/>
        <w:keepLines w:val="0"/>
        <w:pageBreakBefore w:val="0"/>
        <w:widowControl/>
        <w:shd w:val="clear" w:color="auto" w:fill="FFFFFF"/>
        <w:kinsoku/>
        <w:wordWrap/>
        <w:overflowPunct/>
        <w:topLinePunct w:val="0"/>
        <w:autoSpaceDE/>
        <w:autoSpaceDN/>
        <w:bidi w:val="0"/>
        <w:adjustRightInd/>
        <w:snapToGrid/>
        <w:ind w:firstLine="640" w:firstLineChars="200"/>
        <w:jc w:val="left"/>
        <w:textAlignment w:val="auto"/>
        <w:rPr>
          <w:rFonts w:hint="eastAsia" w:ascii="仿宋_GB2312" w:hAnsi="宋体" w:eastAsia="仿宋_GB2312" w:cs="宋体"/>
          <w:color w:val="333333"/>
          <w:kern w:val="0"/>
          <w:sz w:val="32"/>
          <w:szCs w:val="24"/>
        </w:rPr>
      </w:pPr>
      <w:r>
        <w:rPr>
          <w:rFonts w:hint="eastAsia" w:ascii="黑体" w:hAnsi="黑体" w:eastAsia="黑体"/>
          <w:sz w:val="32"/>
          <w:szCs w:val="32"/>
        </w:rPr>
        <w:t>第三条</w:t>
      </w:r>
      <w:r>
        <w:rPr>
          <w:rFonts w:hint="eastAsia" w:ascii="仿宋_GB2312" w:hAnsi="宋体" w:eastAsia="仿宋_GB2312" w:cs="宋体"/>
          <w:color w:val="333333"/>
          <w:kern w:val="0"/>
          <w:sz w:val="32"/>
          <w:szCs w:val="24"/>
        </w:rPr>
        <w:t xml:space="preserve"> 认定文物，由县级以上地方文物行政部门负责。认定文物发生争议的，由省级文物行政部门作出裁定。 </w:t>
      </w:r>
      <w:r>
        <w:rPr>
          <w:rFonts w:hint="eastAsia" w:ascii="仿宋_GB2312" w:hAnsi="宋体" w:eastAsia="仿宋_GB2312" w:cs="宋体"/>
          <w:color w:val="333333"/>
          <w:kern w:val="0"/>
          <w:sz w:val="32"/>
          <w:szCs w:val="24"/>
        </w:rPr>
        <w:br w:type="textWrapping"/>
      </w:r>
      <w:r>
        <w:rPr>
          <w:rFonts w:hint="eastAsia" w:ascii="仿宋_GB2312" w:hAnsi="宋体" w:eastAsia="仿宋_GB2312" w:cs="宋体"/>
          <w:color w:val="333333"/>
          <w:kern w:val="0"/>
          <w:sz w:val="32"/>
          <w:szCs w:val="24"/>
        </w:rPr>
        <w:t>省级文物行政部门应当根据国务院文物行政部门的要求，认定特定的文化资源为文物。</w:t>
      </w:r>
    </w:p>
    <w:p>
      <w:pPr>
        <w:keepNext w:val="0"/>
        <w:keepLines w:val="0"/>
        <w:pageBreakBefore w:val="0"/>
        <w:widowControl/>
        <w:shd w:val="clear" w:color="auto" w:fill="FFFFFF"/>
        <w:kinsoku/>
        <w:wordWrap/>
        <w:overflowPunct/>
        <w:topLinePunct w:val="0"/>
        <w:autoSpaceDE/>
        <w:autoSpaceDN/>
        <w:bidi w:val="0"/>
        <w:adjustRightInd/>
        <w:snapToGrid/>
        <w:ind w:firstLine="640" w:firstLineChars="200"/>
        <w:jc w:val="left"/>
        <w:textAlignment w:val="auto"/>
        <w:rPr>
          <w:rFonts w:hint="eastAsia" w:ascii="仿宋_GB2312" w:hAnsi="宋体" w:eastAsia="仿宋_GB2312" w:cs="宋体"/>
          <w:color w:val="333333"/>
          <w:kern w:val="0"/>
          <w:sz w:val="32"/>
          <w:szCs w:val="24"/>
        </w:rPr>
      </w:pPr>
      <w:r>
        <w:rPr>
          <w:rFonts w:hint="eastAsia" w:ascii="黑体" w:hAnsi="黑体" w:eastAsia="黑体"/>
          <w:sz w:val="32"/>
          <w:szCs w:val="32"/>
        </w:rPr>
        <w:t>第四条</w:t>
      </w:r>
      <w:r>
        <w:rPr>
          <w:rFonts w:hint="eastAsia" w:ascii="仿宋_GB2312" w:hAnsi="宋体" w:eastAsia="仿宋_GB2312" w:cs="宋体"/>
          <w:color w:val="333333"/>
          <w:kern w:val="0"/>
          <w:sz w:val="32"/>
          <w:szCs w:val="24"/>
        </w:rPr>
        <w:t xml:space="preserve"> 国务院文物行政部门应当定期发布指导意见，明确文物认定工作的范围和重点。</w:t>
      </w:r>
    </w:p>
    <w:p>
      <w:pPr>
        <w:keepNext w:val="0"/>
        <w:keepLines w:val="0"/>
        <w:pageBreakBefore w:val="0"/>
        <w:widowControl/>
        <w:shd w:val="clear" w:color="auto" w:fill="FFFFFF"/>
        <w:kinsoku/>
        <w:wordWrap/>
        <w:overflowPunct/>
        <w:topLinePunct w:val="0"/>
        <w:autoSpaceDE/>
        <w:autoSpaceDN/>
        <w:bidi w:val="0"/>
        <w:adjustRightInd/>
        <w:snapToGrid/>
        <w:ind w:firstLine="640" w:firstLineChars="200"/>
        <w:jc w:val="left"/>
        <w:textAlignment w:val="auto"/>
        <w:rPr>
          <w:rFonts w:hint="eastAsia" w:ascii="仿宋_GB2312" w:hAnsi="宋体" w:eastAsia="仿宋_GB2312" w:cs="宋体"/>
          <w:color w:val="333333"/>
          <w:kern w:val="0"/>
          <w:sz w:val="32"/>
          <w:szCs w:val="24"/>
        </w:rPr>
      </w:pPr>
      <w:r>
        <w:rPr>
          <w:rFonts w:hint="eastAsia" w:ascii="黑体" w:hAnsi="黑体" w:eastAsia="黑体"/>
          <w:sz w:val="32"/>
          <w:szCs w:val="32"/>
        </w:rPr>
        <w:t>第五条</w:t>
      </w:r>
      <w:r>
        <w:rPr>
          <w:rFonts w:hint="eastAsia" w:ascii="仿宋_GB2312" w:hAnsi="宋体" w:eastAsia="仿宋_GB2312" w:cs="宋体"/>
          <w:color w:val="333333"/>
          <w:kern w:val="0"/>
          <w:sz w:val="32"/>
          <w:szCs w:val="24"/>
        </w:rPr>
        <w:t xml:space="preserve"> 各级文物行政部门应当定期组织开展文物普查，并由县级以上地方文物行政部门对普查中发现的文物予以认定。</w:t>
      </w:r>
    </w:p>
    <w:p>
      <w:pPr>
        <w:keepNext w:val="0"/>
        <w:keepLines w:val="0"/>
        <w:pageBreakBefore w:val="0"/>
        <w:widowControl/>
        <w:shd w:val="clear" w:color="auto" w:fill="FFFFFF"/>
        <w:kinsoku/>
        <w:wordWrap/>
        <w:overflowPunct/>
        <w:topLinePunct w:val="0"/>
        <w:autoSpaceDE/>
        <w:autoSpaceDN/>
        <w:bidi w:val="0"/>
        <w:adjustRightInd/>
        <w:snapToGrid/>
        <w:ind w:firstLine="640" w:firstLineChars="200"/>
        <w:jc w:val="left"/>
        <w:textAlignment w:val="auto"/>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rPr>
        <w:t>各级文物行政部门应当完善制度，鼓励公民、法人和其他组织在文物普查工作中发挥作用。</w:t>
      </w:r>
    </w:p>
    <w:p>
      <w:pPr>
        <w:keepNext w:val="0"/>
        <w:keepLines w:val="0"/>
        <w:pageBreakBefore w:val="0"/>
        <w:widowControl/>
        <w:shd w:val="clear" w:color="auto" w:fill="FFFFFF"/>
        <w:kinsoku/>
        <w:wordWrap/>
        <w:overflowPunct/>
        <w:topLinePunct w:val="0"/>
        <w:autoSpaceDE/>
        <w:autoSpaceDN/>
        <w:bidi w:val="0"/>
        <w:adjustRightInd/>
        <w:snapToGrid/>
        <w:ind w:firstLine="640" w:firstLineChars="200"/>
        <w:jc w:val="left"/>
        <w:textAlignment w:val="auto"/>
        <w:rPr>
          <w:rFonts w:hint="eastAsia" w:ascii="仿宋_GB2312" w:hAnsi="宋体" w:eastAsia="仿宋_GB2312" w:cs="宋体"/>
          <w:color w:val="333333"/>
          <w:kern w:val="0"/>
          <w:sz w:val="32"/>
          <w:szCs w:val="24"/>
        </w:rPr>
      </w:pPr>
      <w:r>
        <w:rPr>
          <w:rFonts w:hint="eastAsia" w:ascii="黑体" w:hAnsi="黑体" w:eastAsia="黑体"/>
          <w:sz w:val="32"/>
          <w:szCs w:val="32"/>
        </w:rPr>
        <w:t>第六条</w:t>
      </w:r>
      <w:r>
        <w:rPr>
          <w:rFonts w:hint="eastAsia" w:ascii="仿宋_GB2312" w:hAnsi="宋体" w:eastAsia="仿宋_GB2312" w:cs="宋体"/>
          <w:color w:val="333333"/>
          <w:kern w:val="0"/>
          <w:sz w:val="32"/>
          <w:szCs w:val="24"/>
        </w:rPr>
        <w:t xml:space="preserve"> 所有权人或持有人书面要求认定文物的，应当向县级以上地方文物行政部门提供其姓名或者名称、住所、有效身份证件号码或者有效证照号码，以及认定对象的来源说明。县级以上地方文物行政部门应当作出决定并予以答复。</w:t>
      </w:r>
    </w:p>
    <w:p>
      <w:pPr>
        <w:keepNext w:val="0"/>
        <w:keepLines w:val="0"/>
        <w:pageBreakBefore w:val="0"/>
        <w:widowControl/>
        <w:shd w:val="clear" w:color="auto" w:fill="FFFFFF"/>
        <w:kinsoku/>
        <w:wordWrap/>
        <w:overflowPunct/>
        <w:topLinePunct w:val="0"/>
        <w:autoSpaceDE/>
        <w:autoSpaceDN/>
        <w:bidi w:val="0"/>
        <w:adjustRightInd/>
        <w:snapToGrid/>
        <w:ind w:firstLine="640" w:firstLineChars="200"/>
        <w:jc w:val="left"/>
        <w:textAlignment w:val="auto"/>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rPr>
        <w:t>县级以上地方文物行政部门应当告知文物所有权人或持有人依法承担的文物保护责任。</w:t>
      </w:r>
    </w:p>
    <w:p>
      <w:pPr>
        <w:keepNext w:val="0"/>
        <w:keepLines w:val="0"/>
        <w:pageBreakBefore w:val="0"/>
        <w:widowControl/>
        <w:shd w:val="clear" w:color="auto" w:fill="FFFFFF"/>
        <w:kinsoku/>
        <w:wordWrap/>
        <w:overflowPunct/>
        <w:topLinePunct w:val="0"/>
        <w:autoSpaceDE/>
        <w:autoSpaceDN/>
        <w:bidi w:val="0"/>
        <w:adjustRightInd/>
        <w:snapToGrid/>
        <w:ind w:firstLine="640" w:firstLineChars="200"/>
        <w:jc w:val="left"/>
        <w:textAlignment w:val="auto"/>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rPr>
        <w:t>县级以上地方文物行政部门应当整理并保存上述工作的文件和资料。</w:t>
      </w:r>
    </w:p>
    <w:p>
      <w:pPr>
        <w:keepNext w:val="0"/>
        <w:keepLines w:val="0"/>
        <w:pageBreakBefore w:val="0"/>
        <w:widowControl/>
        <w:shd w:val="clear" w:color="auto" w:fill="FFFFFF"/>
        <w:kinsoku/>
        <w:wordWrap/>
        <w:overflowPunct/>
        <w:topLinePunct w:val="0"/>
        <w:autoSpaceDE/>
        <w:autoSpaceDN/>
        <w:bidi w:val="0"/>
        <w:adjustRightInd/>
        <w:snapToGrid/>
        <w:ind w:firstLine="640" w:firstLineChars="200"/>
        <w:jc w:val="left"/>
        <w:textAlignment w:val="auto"/>
        <w:rPr>
          <w:rFonts w:hint="eastAsia" w:ascii="仿宋_GB2312" w:hAnsi="宋体" w:eastAsia="仿宋_GB2312" w:cs="宋体"/>
          <w:color w:val="333333"/>
          <w:kern w:val="0"/>
          <w:sz w:val="32"/>
          <w:szCs w:val="24"/>
        </w:rPr>
      </w:pPr>
      <w:r>
        <w:rPr>
          <w:rFonts w:hint="eastAsia" w:ascii="黑体" w:hAnsi="黑体" w:eastAsia="黑体"/>
          <w:sz w:val="32"/>
          <w:szCs w:val="32"/>
        </w:rPr>
        <w:t>第七条</w:t>
      </w:r>
      <w:r>
        <w:rPr>
          <w:rFonts w:hint="eastAsia" w:ascii="仿宋_GB2312" w:hAnsi="宋体" w:eastAsia="仿宋_GB2312" w:cs="宋体"/>
          <w:color w:val="333333"/>
          <w:kern w:val="0"/>
          <w:sz w:val="32"/>
          <w:szCs w:val="24"/>
        </w:rPr>
        <w:t xml:space="preserve"> 公民、法人和其他组织书面要求认定不可移动文物的，应当向县级以上地方文物行政部门提供其姓名或者名称、住所、有效身份证件号码或者有效证照号码。县级以上地方文物行政部门应当通过听证会等形式听取公众意见并作出决定予以答复。</w:t>
      </w:r>
    </w:p>
    <w:p>
      <w:pPr>
        <w:keepNext w:val="0"/>
        <w:keepLines w:val="0"/>
        <w:pageBreakBefore w:val="0"/>
        <w:widowControl/>
        <w:shd w:val="clear" w:color="auto" w:fill="FFFFFF"/>
        <w:kinsoku/>
        <w:wordWrap/>
        <w:overflowPunct/>
        <w:topLinePunct w:val="0"/>
        <w:autoSpaceDE/>
        <w:autoSpaceDN/>
        <w:bidi w:val="0"/>
        <w:adjustRightInd/>
        <w:snapToGrid/>
        <w:ind w:firstLine="640" w:firstLineChars="200"/>
        <w:jc w:val="left"/>
        <w:textAlignment w:val="auto"/>
        <w:rPr>
          <w:rFonts w:hint="eastAsia" w:ascii="仿宋_GB2312" w:hAnsi="宋体" w:eastAsia="仿宋_GB2312" w:cs="宋体"/>
          <w:color w:val="333333"/>
          <w:kern w:val="0"/>
          <w:sz w:val="32"/>
          <w:szCs w:val="24"/>
        </w:rPr>
      </w:pPr>
      <w:r>
        <w:rPr>
          <w:rFonts w:hint="eastAsia" w:ascii="黑体" w:hAnsi="黑体" w:eastAsia="黑体"/>
          <w:sz w:val="32"/>
          <w:szCs w:val="32"/>
        </w:rPr>
        <w:t>第八条</w:t>
      </w:r>
      <w:r>
        <w:rPr>
          <w:rFonts w:hint="eastAsia" w:ascii="仿宋_GB2312" w:hAnsi="宋体" w:eastAsia="仿宋_GB2312" w:cs="宋体"/>
          <w:color w:val="333333"/>
          <w:kern w:val="0"/>
          <w:sz w:val="32"/>
          <w:szCs w:val="24"/>
        </w:rPr>
        <w:t xml:space="preserve"> 县级以上地方文物行政部门认定文物，应当开展调查研究，收集相关资料，充分听取专家意见，召集专门会议研究并作出书面决定。</w:t>
      </w:r>
    </w:p>
    <w:p>
      <w:pPr>
        <w:keepNext w:val="0"/>
        <w:keepLines w:val="0"/>
        <w:pageBreakBefore w:val="0"/>
        <w:widowControl/>
        <w:shd w:val="clear" w:color="auto" w:fill="FFFFFF"/>
        <w:kinsoku/>
        <w:wordWrap/>
        <w:overflowPunct/>
        <w:topLinePunct w:val="0"/>
        <w:autoSpaceDE/>
        <w:autoSpaceDN/>
        <w:bidi w:val="0"/>
        <w:adjustRightInd/>
        <w:snapToGrid/>
        <w:ind w:firstLine="640" w:firstLineChars="200"/>
        <w:jc w:val="left"/>
        <w:textAlignment w:val="auto"/>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rPr>
        <w:t>县级以上地方文物行政部门可以委托或设置专门机构开展认定文物的具体工作。</w:t>
      </w:r>
    </w:p>
    <w:p>
      <w:pPr>
        <w:keepNext w:val="0"/>
        <w:keepLines w:val="0"/>
        <w:pageBreakBefore w:val="0"/>
        <w:widowControl/>
        <w:shd w:val="clear" w:color="auto" w:fill="FFFFFF"/>
        <w:kinsoku/>
        <w:wordWrap/>
        <w:overflowPunct/>
        <w:topLinePunct w:val="0"/>
        <w:autoSpaceDE/>
        <w:autoSpaceDN/>
        <w:bidi w:val="0"/>
        <w:adjustRightInd/>
        <w:snapToGrid/>
        <w:ind w:firstLine="640" w:firstLineChars="200"/>
        <w:jc w:val="left"/>
        <w:textAlignment w:val="auto"/>
        <w:rPr>
          <w:rFonts w:hint="eastAsia" w:ascii="仿宋_GB2312" w:hAnsi="宋体" w:eastAsia="仿宋_GB2312" w:cs="宋体"/>
          <w:color w:val="333333"/>
          <w:kern w:val="0"/>
          <w:sz w:val="32"/>
          <w:szCs w:val="24"/>
        </w:rPr>
      </w:pPr>
      <w:r>
        <w:rPr>
          <w:rFonts w:hint="eastAsia" w:ascii="黑体" w:hAnsi="黑体" w:eastAsia="黑体"/>
          <w:sz w:val="32"/>
          <w:szCs w:val="32"/>
        </w:rPr>
        <w:t>第九条</w:t>
      </w:r>
      <w:r>
        <w:rPr>
          <w:rFonts w:hint="eastAsia" w:ascii="仿宋_GB2312" w:hAnsi="宋体" w:eastAsia="仿宋_GB2312" w:cs="宋体"/>
          <w:color w:val="333333"/>
          <w:kern w:val="0"/>
          <w:sz w:val="32"/>
          <w:szCs w:val="24"/>
        </w:rPr>
        <w:t xml:space="preserve"> 不可移动文物的认定，自县级以上地方文物行政部门公告之日起生效。</w:t>
      </w:r>
    </w:p>
    <w:p>
      <w:pPr>
        <w:keepNext w:val="0"/>
        <w:keepLines w:val="0"/>
        <w:pageBreakBefore w:val="0"/>
        <w:widowControl/>
        <w:shd w:val="clear" w:color="auto" w:fill="FFFFFF"/>
        <w:kinsoku/>
        <w:wordWrap/>
        <w:overflowPunct/>
        <w:topLinePunct w:val="0"/>
        <w:autoSpaceDE/>
        <w:autoSpaceDN/>
        <w:bidi w:val="0"/>
        <w:adjustRightInd/>
        <w:snapToGrid/>
        <w:ind w:firstLine="640" w:firstLineChars="200"/>
        <w:jc w:val="left"/>
        <w:textAlignment w:val="auto"/>
        <w:rPr>
          <w:rFonts w:hint="eastAsia" w:ascii="仿宋_GB2312" w:hAnsi="宋体" w:eastAsia="仿宋_GB2312" w:cs="宋体"/>
          <w:color w:val="333333"/>
          <w:kern w:val="0"/>
          <w:sz w:val="32"/>
          <w:szCs w:val="24"/>
        </w:rPr>
      </w:pPr>
      <w:r>
        <w:rPr>
          <w:rFonts w:hint="eastAsia" w:ascii="仿宋_GB2312" w:hAnsi="宋体" w:eastAsia="仿宋_GB2312" w:cs="宋体"/>
          <w:color w:val="333333"/>
          <w:kern w:val="0"/>
          <w:sz w:val="32"/>
          <w:szCs w:val="24"/>
        </w:rPr>
        <w:t>可移动文物的认定，自县级以上地方文物行政部门作出决定之日起生效。列入文物收藏单位藏品档案的文物，自主管的文物行政部门备案之日起生效。</w:t>
      </w:r>
    </w:p>
    <w:p>
      <w:pPr>
        <w:keepNext w:val="0"/>
        <w:keepLines w:val="0"/>
        <w:pageBreakBefore w:val="0"/>
        <w:widowControl/>
        <w:shd w:val="clear" w:color="auto" w:fill="FFFFFF"/>
        <w:kinsoku/>
        <w:wordWrap/>
        <w:overflowPunct/>
        <w:topLinePunct w:val="0"/>
        <w:autoSpaceDE/>
        <w:autoSpaceDN/>
        <w:bidi w:val="0"/>
        <w:adjustRightInd/>
        <w:snapToGrid/>
        <w:ind w:firstLine="640" w:firstLineChars="200"/>
        <w:jc w:val="left"/>
        <w:textAlignment w:val="auto"/>
        <w:rPr>
          <w:rFonts w:hint="eastAsia" w:ascii="仿宋_GB2312" w:hAnsi="宋体" w:eastAsia="仿宋_GB2312" w:cs="宋体"/>
          <w:color w:val="333333"/>
          <w:kern w:val="0"/>
          <w:sz w:val="32"/>
          <w:szCs w:val="24"/>
        </w:rPr>
      </w:pPr>
      <w:r>
        <w:rPr>
          <w:rFonts w:hint="eastAsia" w:ascii="黑体" w:hAnsi="黑体" w:eastAsia="黑体"/>
          <w:sz w:val="32"/>
          <w:szCs w:val="32"/>
        </w:rPr>
        <w:t>第十条</w:t>
      </w:r>
      <w:r>
        <w:rPr>
          <w:rFonts w:hint="eastAsia" w:ascii="仿宋_GB2312" w:hAnsi="宋体" w:eastAsia="仿宋_GB2312" w:cs="宋体"/>
          <w:color w:val="333333"/>
          <w:kern w:val="0"/>
          <w:sz w:val="32"/>
          <w:szCs w:val="24"/>
        </w:rPr>
        <w:t xml:space="preserve"> 各级文物行政部门应当根据《中华人民共和国文物保护法》第三条的规定，组织开展经常性的文物定级工作。</w:t>
      </w:r>
    </w:p>
    <w:p>
      <w:pPr>
        <w:keepNext w:val="0"/>
        <w:keepLines w:val="0"/>
        <w:pageBreakBefore w:val="0"/>
        <w:widowControl/>
        <w:shd w:val="clear" w:color="auto" w:fill="FFFFFF"/>
        <w:kinsoku/>
        <w:wordWrap/>
        <w:overflowPunct/>
        <w:topLinePunct w:val="0"/>
        <w:autoSpaceDE/>
        <w:autoSpaceDN/>
        <w:bidi w:val="0"/>
        <w:adjustRightInd/>
        <w:snapToGrid/>
        <w:ind w:firstLine="640" w:firstLineChars="200"/>
        <w:jc w:val="left"/>
        <w:textAlignment w:val="auto"/>
        <w:rPr>
          <w:rFonts w:hint="eastAsia" w:ascii="仿宋_GB2312" w:hAnsi="宋体" w:eastAsia="仿宋_GB2312" w:cs="宋体"/>
          <w:color w:val="333333"/>
          <w:kern w:val="0"/>
          <w:sz w:val="32"/>
          <w:szCs w:val="24"/>
        </w:rPr>
      </w:pPr>
      <w:r>
        <w:rPr>
          <w:rFonts w:hint="eastAsia" w:ascii="黑体" w:hAnsi="黑体" w:eastAsia="黑体"/>
          <w:sz w:val="32"/>
          <w:szCs w:val="32"/>
        </w:rPr>
        <w:t>第十一条</w:t>
      </w:r>
      <w:r>
        <w:rPr>
          <w:rFonts w:hint="eastAsia" w:ascii="仿宋_GB2312" w:hAnsi="宋体" w:eastAsia="仿宋_GB2312" w:cs="宋体"/>
          <w:color w:val="333333"/>
          <w:kern w:val="0"/>
          <w:sz w:val="32"/>
          <w:szCs w:val="24"/>
        </w:rPr>
        <w:t xml:space="preserve"> 文物收藏单位收藏文物的定级，由主管的文物行政部门备案确认。 </w:t>
      </w:r>
      <w:r>
        <w:rPr>
          <w:rFonts w:hint="eastAsia" w:ascii="仿宋_GB2312" w:hAnsi="宋体" w:eastAsia="仿宋_GB2312" w:cs="宋体"/>
          <w:color w:val="333333"/>
          <w:kern w:val="0"/>
          <w:sz w:val="32"/>
          <w:szCs w:val="24"/>
        </w:rPr>
        <w:br w:type="textWrapping"/>
      </w:r>
      <w:r>
        <w:rPr>
          <w:rFonts w:hint="eastAsia" w:ascii="仿宋_GB2312" w:hAnsi="宋体" w:eastAsia="仿宋_GB2312" w:cs="宋体"/>
          <w:color w:val="333333"/>
          <w:kern w:val="0"/>
          <w:sz w:val="32"/>
          <w:szCs w:val="24"/>
        </w:rPr>
        <w:t>文物行政部门应当建立民间收藏文物定级的工作机制，组织开展民间收藏文物的定级工作。定级的民间收藏文物，由主管的地方文物行政部门备案。</w:t>
      </w:r>
    </w:p>
    <w:p>
      <w:pPr>
        <w:keepNext w:val="0"/>
        <w:keepLines w:val="0"/>
        <w:pageBreakBefore w:val="0"/>
        <w:widowControl/>
        <w:shd w:val="clear" w:color="auto" w:fill="FFFFFF"/>
        <w:kinsoku/>
        <w:wordWrap/>
        <w:overflowPunct/>
        <w:topLinePunct w:val="0"/>
        <w:autoSpaceDE/>
        <w:autoSpaceDN/>
        <w:bidi w:val="0"/>
        <w:adjustRightInd/>
        <w:snapToGrid/>
        <w:ind w:firstLine="640" w:firstLineChars="200"/>
        <w:jc w:val="left"/>
        <w:textAlignment w:val="auto"/>
        <w:rPr>
          <w:rFonts w:hint="eastAsia" w:ascii="仿宋_GB2312" w:hAnsi="宋体" w:eastAsia="仿宋_GB2312" w:cs="宋体"/>
          <w:color w:val="333333"/>
          <w:kern w:val="0"/>
          <w:sz w:val="32"/>
          <w:szCs w:val="24"/>
        </w:rPr>
      </w:pPr>
      <w:r>
        <w:rPr>
          <w:rFonts w:hint="eastAsia" w:ascii="黑体" w:hAnsi="黑体" w:eastAsia="黑体"/>
          <w:sz w:val="32"/>
          <w:szCs w:val="32"/>
        </w:rPr>
        <w:t>第十二条</w:t>
      </w:r>
      <w:r>
        <w:rPr>
          <w:rFonts w:hint="eastAsia" w:ascii="仿宋_GB2312" w:hAnsi="宋体" w:eastAsia="仿宋_GB2312" w:cs="宋体"/>
          <w:color w:val="333333"/>
          <w:kern w:val="0"/>
          <w:sz w:val="32"/>
          <w:szCs w:val="24"/>
        </w:rPr>
        <w:t xml:space="preserve"> 公民、法人和其他组织，以及所有权人书面要求对不可移动文物进行定级的，应当向有关文物行政部门提供其姓名或者名称、住所、有效身份证件号码或者有效证照号码。有关文物行政部门应当通过听证会等形式听取公众意见并予以答复。</w:t>
      </w:r>
    </w:p>
    <w:p>
      <w:pPr>
        <w:keepNext w:val="0"/>
        <w:keepLines w:val="0"/>
        <w:pageBreakBefore w:val="0"/>
        <w:widowControl/>
        <w:shd w:val="clear" w:color="auto" w:fill="FFFFFF"/>
        <w:kinsoku/>
        <w:wordWrap/>
        <w:overflowPunct/>
        <w:topLinePunct w:val="0"/>
        <w:autoSpaceDE/>
        <w:autoSpaceDN/>
        <w:bidi w:val="0"/>
        <w:adjustRightInd/>
        <w:snapToGrid/>
        <w:ind w:firstLine="640" w:firstLineChars="200"/>
        <w:jc w:val="left"/>
        <w:textAlignment w:val="auto"/>
        <w:rPr>
          <w:rFonts w:hint="eastAsia" w:ascii="仿宋_GB2312" w:hAnsi="宋体" w:eastAsia="仿宋_GB2312" w:cs="宋体"/>
          <w:color w:val="333333"/>
          <w:kern w:val="0"/>
          <w:sz w:val="32"/>
          <w:szCs w:val="24"/>
        </w:rPr>
      </w:pPr>
      <w:r>
        <w:rPr>
          <w:rFonts w:hint="eastAsia" w:ascii="黑体" w:hAnsi="黑体" w:eastAsia="黑体"/>
          <w:sz w:val="32"/>
          <w:szCs w:val="32"/>
        </w:rPr>
        <w:t>第十三条</w:t>
      </w:r>
      <w:r>
        <w:rPr>
          <w:rFonts w:hint="eastAsia" w:ascii="仿宋_GB2312" w:hAnsi="宋体" w:eastAsia="仿宋_GB2312" w:cs="宋体"/>
          <w:color w:val="333333"/>
          <w:kern w:val="0"/>
          <w:sz w:val="32"/>
          <w:szCs w:val="24"/>
        </w:rPr>
        <w:t xml:space="preserve"> 对文物认定和定级决定不服的，可以依法申请行政复议。</w:t>
      </w:r>
    </w:p>
    <w:p>
      <w:pPr>
        <w:keepNext w:val="0"/>
        <w:keepLines w:val="0"/>
        <w:pageBreakBefore w:val="0"/>
        <w:widowControl/>
        <w:shd w:val="clear" w:color="auto" w:fill="FFFFFF"/>
        <w:kinsoku/>
        <w:wordWrap/>
        <w:overflowPunct/>
        <w:topLinePunct w:val="0"/>
        <w:autoSpaceDE/>
        <w:autoSpaceDN/>
        <w:bidi w:val="0"/>
        <w:adjustRightInd/>
        <w:snapToGrid/>
        <w:ind w:firstLine="640" w:firstLineChars="200"/>
        <w:jc w:val="left"/>
        <w:textAlignment w:val="auto"/>
        <w:rPr>
          <w:rFonts w:hint="eastAsia" w:ascii="仿宋_GB2312" w:hAnsi="宋体" w:eastAsia="仿宋_GB2312" w:cs="宋体"/>
          <w:color w:val="333333"/>
          <w:kern w:val="0"/>
          <w:sz w:val="32"/>
          <w:szCs w:val="24"/>
        </w:rPr>
      </w:pPr>
      <w:r>
        <w:rPr>
          <w:rFonts w:hint="eastAsia" w:ascii="黑体" w:hAnsi="黑体" w:eastAsia="黑体"/>
          <w:sz w:val="32"/>
          <w:szCs w:val="32"/>
        </w:rPr>
        <w:t>第十四条</w:t>
      </w:r>
      <w:r>
        <w:rPr>
          <w:rFonts w:hint="eastAsia" w:ascii="仿宋_GB2312" w:hAnsi="宋体" w:eastAsia="仿宋_GB2312" w:cs="宋体"/>
          <w:color w:val="333333"/>
          <w:kern w:val="0"/>
          <w:sz w:val="32"/>
          <w:szCs w:val="24"/>
        </w:rPr>
        <w:t xml:space="preserve"> 国家实行文物登录制度，由县级以上文物行政部门委托或设置专门机构开展相关工作。 </w:t>
      </w:r>
      <w:r>
        <w:rPr>
          <w:rFonts w:hint="eastAsia" w:ascii="仿宋_GB2312" w:hAnsi="宋体" w:eastAsia="仿宋_GB2312" w:cs="宋体"/>
          <w:color w:val="333333"/>
          <w:kern w:val="0"/>
          <w:sz w:val="32"/>
          <w:szCs w:val="24"/>
        </w:rPr>
        <w:br w:type="textWrapping"/>
      </w:r>
      <w:r>
        <w:rPr>
          <w:rFonts w:hint="eastAsia" w:ascii="仿宋_GB2312" w:hAnsi="宋体" w:eastAsia="仿宋_GB2312" w:cs="宋体"/>
          <w:color w:val="333333"/>
          <w:kern w:val="0"/>
          <w:sz w:val="32"/>
          <w:szCs w:val="24"/>
        </w:rPr>
        <w:t>文物登录，应当对各类文物分别制定登录指标体系。登录指标体系应当满足文物保护、研究和公众教育等需要。 </w:t>
      </w:r>
      <w:r>
        <w:rPr>
          <w:rFonts w:hint="eastAsia" w:ascii="仿宋_GB2312" w:hAnsi="宋体" w:eastAsia="仿宋_GB2312" w:cs="宋体"/>
          <w:color w:val="333333"/>
          <w:kern w:val="0"/>
          <w:sz w:val="32"/>
          <w:szCs w:val="24"/>
        </w:rPr>
        <w:br w:type="textWrapping"/>
      </w:r>
      <w:r>
        <w:rPr>
          <w:rFonts w:hint="eastAsia" w:ascii="仿宋_GB2312" w:hAnsi="宋体" w:eastAsia="仿宋_GB2312" w:cs="宋体"/>
          <w:color w:val="333333"/>
          <w:kern w:val="0"/>
          <w:sz w:val="32"/>
          <w:szCs w:val="24"/>
        </w:rPr>
        <w:t>根据私有文物所有权人的要求，文物登录管理机构应当对其身份予以保密。</w:t>
      </w:r>
    </w:p>
    <w:p>
      <w:pPr>
        <w:keepNext w:val="0"/>
        <w:keepLines w:val="0"/>
        <w:pageBreakBefore w:val="0"/>
        <w:widowControl/>
        <w:shd w:val="clear" w:color="auto" w:fill="FFFFFF"/>
        <w:kinsoku/>
        <w:wordWrap/>
        <w:overflowPunct/>
        <w:topLinePunct w:val="0"/>
        <w:autoSpaceDE/>
        <w:autoSpaceDN/>
        <w:bidi w:val="0"/>
        <w:adjustRightInd/>
        <w:snapToGrid/>
        <w:ind w:firstLine="640" w:firstLineChars="200"/>
        <w:jc w:val="left"/>
        <w:textAlignment w:val="auto"/>
        <w:rPr>
          <w:rFonts w:hint="eastAsia" w:ascii="仿宋_GB2312" w:hAnsi="宋体" w:eastAsia="仿宋_GB2312" w:cs="宋体"/>
          <w:color w:val="333333"/>
          <w:kern w:val="0"/>
          <w:sz w:val="32"/>
          <w:szCs w:val="24"/>
        </w:rPr>
      </w:pPr>
      <w:r>
        <w:rPr>
          <w:rFonts w:hint="eastAsia" w:ascii="黑体" w:hAnsi="黑体" w:eastAsia="黑体"/>
          <w:sz w:val="32"/>
          <w:szCs w:val="32"/>
        </w:rPr>
        <w:t>第十五条</w:t>
      </w:r>
      <w:r>
        <w:rPr>
          <w:rFonts w:hint="eastAsia" w:ascii="仿宋_GB2312" w:hAnsi="宋体" w:eastAsia="仿宋_GB2312" w:cs="宋体"/>
          <w:color w:val="333333"/>
          <w:kern w:val="0"/>
          <w:sz w:val="32"/>
          <w:szCs w:val="24"/>
        </w:rPr>
        <w:t xml:space="preserve"> 违反本办法规定，造成文物破坏的，对负有责任的主管人员和其他直接责任人员依法给予处分；构成犯罪的，依法追究刑事责任。</w:t>
      </w:r>
    </w:p>
    <w:p>
      <w:pPr>
        <w:keepNext w:val="0"/>
        <w:keepLines w:val="0"/>
        <w:pageBreakBefore w:val="0"/>
        <w:widowControl/>
        <w:shd w:val="clear" w:color="auto" w:fill="FFFFFF"/>
        <w:kinsoku/>
        <w:wordWrap/>
        <w:overflowPunct/>
        <w:topLinePunct w:val="0"/>
        <w:autoSpaceDE/>
        <w:autoSpaceDN/>
        <w:bidi w:val="0"/>
        <w:adjustRightInd/>
        <w:snapToGrid/>
        <w:ind w:firstLine="640" w:firstLineChars="200"/>
        <w:jc w:val="left"/>
        <w:textAlignment w:val="auto"/>
        <w:rPr>
          <w:rFonts w:hint="eastAsia" w:ascii="仿宋_GB2312" w:hAnsi="宋体" w:eastAsia="仿宋_GB2312" w:cs="宋体"/>
          <w:color w:val="333333"/>
          <w:kern w:val="0"/>
          <w:sz w:val="32"/>
          <w:szCs w:val="24"/>
        </w:rPr>
      </w:pPr>
      <w:r>
        <w:rPr>
          <w:rFonts w:hint="eastAsia" w:ascii="黑体" w:hAnsi="黑体" w:eastAsia="黑体"/>
          <w:sz w:val="32"/>
          <w:szCs w:val="32"/>
        </w:rPr>
        <w:t>第十六条</w:t>
      </w:r>
      <w:r>
        <w:rPr>
          <w:rFonts w:hint="eastAsia" w:ascii="仿宋_GB2312" w:hAnsi="宋体" w:eastAsia="仿宋_GB2312" w:cs="宋体"/>
          <w:color w:val="333333"/>
          <w:kern w:val="0"/>
          <w:sz w:val="32"/>
          <w:szCs w:val="24"/>
        </w:rPr>
        <w:t xml:space="preserve"> 古猿化石、古人类化石、与人类活动有关的第四纪古脊椎动物化石，以及上述化石地点和遗迹地点的认定和定级工作，按照本办法的规定执行。 </w:t>
      </w:r>
      <w:r>
        <w:rPr>
          <w:rFonts w:hint="eastAsia" w:ascii="仿宋_GB2312" w:hAnsi="宋体" w:eastAsia="仿宋_GB2312" w:cs="宋体"/>
          <w:color w:val="333333"/>
          <w:kern w:val="0"/>
          <w:sz w:val="32"/>
          <w:szCs w:val="24"/>
        </w:rPr>
        <w:br w:type="textWrapping"/>
      </w:r>
      <w:r>
        <w:rPr>
          <w:rFonts w:hint="eastAsia" w:ascii="仿宋_GB2312" w:hAnsi="宋体" w:eastAsia="仿宋_GB2312" w:cs="宋体"/>
          <w:color w:val="333333"/>
          <w:kern w:val="0"/>
          <w:sz w:val="32"/>
          <w:szCs w:val="24"/>
        </w:rPr>
        <w:t>历史文化名城、街区及村镇的认定和定级工作，按照有关法律法规的规定执行。</w:t>
      </w:r>
    </w:p>
    <w:p>
      <w:pPr>
        <w:keepNext w:val="0"/>
        <w:keepLines w:val="0"/>
        <w:pageBreakBefore w:val="0"/>
        <w:widowControl/>
        <w:shd w:val="clear" w:color="auto" w:fill="FFFFFF"/>
        <w:kinsoku/>
        <w:wordWrap/>
        <w:overflowPunct/>
        <w:topLinePunct w:val="0"/>
        <w:autoSpaceDE/>
        <w:autoSpaceDN/>
        <w:bidi w:val="0"/>
        <w:adjustRightInd/>
        <w:snapToGrid/>
        <w:ind w:firstLine="640" w:firstLineChars="200"/>
        <w:jc w:val="left"/>
        <w:textAlignment w:val="auto"/>
        <w:rPr>
          <w:rFonts w:hint="eastAsia" w:ascii="仿宋_GB2312" w:hAnsi="宋体" w:eastAsia="仿宋_GB2312" w:cs="宋体"/>
          <w:color w:val="333333"/>
          <w:kern w:val="0"/>
          <w:sz w:val="32"/>
          <w:szCs w:val="24"/>
        </w:rPr>
      </w:pPr>
      <w:r>
        <w:rPr>
          <w:rFonts w:hint="eastAsia" w:ascii="黑体" w:hAnsi="黑体" w:eastAsia="黑体"/>
          <w:sz w:val="32"/>
          <w:szCs w:val="32"/>
        </w:rPr>
        <w:t>第十七条</w:t>
      </w:r>
      <w:r>
        <w:rPr>
          <w:rFonts w:hint="eastAsia" w:ascii="仿宋_GB2312" w:hAnsi="宋体" w:eastAsia="仿宋_GB2312" w:cs="宋体"/>
          <w:color w:val="333333"/>
          <w:kern w:val="0"/>
          <w:sz w:val="32"/>
          <w:szCs w:val="24"/>
        </w:rPr>
        <w:t xml:space="preserve"> 本办法自2009年10月1日起施行。　</w:t>
      </w:r>
    </w:p>
    <w:p>
      <w:pPr>
        <w:keepNext w:val="0"/>
        <w:keepLines w:val="0"/>
        <w:pageBreakBefore w:val="0"/>
        <w:widowControl/>
        <w:shd w:val="clear" w:color="auto" w:fill="FFFFFF"/>
        <w:kinsoku/>
        <w:wordWrap/>
        <w:overflowPunct/>
        <w:topLinePunct w:val="0"/>
        <w:autoSpaceDE/>
        <w:autoSpaceDN/>
        <w:bidi w:val="0"/>
        <w:adjustRightInd/>
        <w:snapToGrid/>
        <w:ind w:firstLine="640" w:firstLineChars="200"/>
        <w:jc w:val="left"/>
        <w:textAlignment w:val="auto"/>
        <w:rPr>
          <w:rFonts w:hint="eastAsia" w:ascii="仿宋_GB2312" w:hAnsi="宋体" w:eastAsia="仿宋_GB2312" w:cs="宋体"/>
          <w:color w:val="333333"/>
          <w:kern w:val="0"/>
          <w:sz w:val="32"/>
          <w:szCs w:val="2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 w:name="方正小标宋简体">
    <w:panose1 w:val="02000000000000000000"/>
    <w:charset w:val="86"/>
    <w:family w:val="script"/>
    <w:pitch w:val="default"/>
    <w:sig w:usb0="A00002BF" w:usb1="184F6CFA" w:usb2="00000012"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B5B1F56"/>
    <w:rsid w:val="4B5B1F5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4</TotalTime>
  <ScaleCrop>false</ScaleCrop>
  <LinksUpToDate>false</LinksUpToDate>
  <CharactersWithSpaces>0</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2022-02-18T10:12:00Z</dcterms:created>
  <dc:creator>马思伟</dc:creator>
  <cp:lastModifiedBy>马思伟</cp:lastModifiedBy>
  <dcterms:modified xsi:type="dcterms:W3CDTF">2022-02-18T10:17:43Z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A7724B602E824D78A8D0E2FD1BE1AFCF</vt:lpwstr>
  </property>
</Properties>
</file>