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3E1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0" w:firstLineChars="0"/>
        <w:jc w:val="both"/>
        <w:textAlignment w:val="auto"/>
        <w:rPr>
          <w:rFonts w:hint="default" w:ascii="方正黑体_GBK" w:hAnsi="方正黑体_GBK" w:eastAsia="方正黑体_GBK" w:cs="方正黑体_GBK"/>
          <w:b/>
          <w:bCs/>
          <w:spacing w:val="11"/>
          <w:sz w:val="34"/>
          <w:szCs w:val="3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pacing w:val="11"/>
          <w:sz w:val="34"/>
          <w:szCs w:val="34"/>
          <w:lang w:val="en-US" w:eastAsia="zh-CN"/>
        </w:rPr>
        <w:t>附件</w:t>
      </w:r>
    </w:p>
    <w:p w14:paraId="5AA42900">
      <w:pPr>
        <w:rPr>
          <w:rFonts w:hint="default"/>
          <w:lang w:val="en" w:eastAsia="zh-CN"/>
        </w:rPr>
      </w:pPr>
    </w:p>
    <w:p w14:paraId="7B7330B5">
      <w:pPr>
        <w:jc w:val="center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  <w:t>戏曲全媒体传播优秀案例名单</w:t>
      </w:r>
      <w:bookmarkEnd w:id="0"/>
    </w:p>
    <w:p w14:paraId="01AA4521">
      <w:pPr>
        <w:spacing w:line="600" w:lineRule="exact"/>
        <w:ind w:firstLine="727" w:firstLineChars="200"/>
        <w:jc w:val="center"/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  <w:t>（按行政区划排序）</w:t>
      </w:r>
    </w:p>
    <w:p w14:paraId="3764A85C">
      <w:pPr>
        <w:pStyle w:val="2"/>
        <w:rPr>
          <w:rFonts w:hint="eastAsia"/>
          <w:lang w:val="en-US" w:eastAsia="zh-CN"/>
        </w:rPr>
      </w:pPr>
    </w:p>
    <w:p w14:paraId="396E8C6D">
      <w:pPr>
        <w:spacing w:line="600" w:lineRule="exact"/>
        <w:ind w:firstLine="727" w:firstLineChars="200"/>
        <w:jc w:val="center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  <w:t>一、十佳案例</w:t>
      </w:r>
    </w:p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03"/>
        <w:gridCol w:w="4956"/>
        <w:gridCol w:w="2664"/>
      </w:tblGrid>
      <w:tr w14:paraId="5812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55D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B732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申报地区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EA721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D710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案例主办单位</w:t>
            </w:r>
          </w:p>
        </w:tc>
      </w:tr>
      <w:tr w14:paraId="156A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C870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49E2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A25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梨园古韵绽放时代新声：戏曲百戏（昆山）盛典品牌建设与全媒体传播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663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江苏省文化和旅游厅、苏州市文化广电和旅游局、昆山市文体广电和旅游局</w:t>
            </w:r>
          </w:p>
        </w:tc>
      </w:tr>
      <w:tr w14:paraId="6D14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713CD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05B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8F8D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2025越剧春节晚会全媒体传播：让越剧走向全民与世界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16975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浙江广播电视集团</w:t>
            </w:r>
          </w:p>
        </w:tc>
      </w:tr>
      <w:tr w14:paraId="5E055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A853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2F36D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072B3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婺剧《三打白骨精》“破圈”：传统戏曲当代传播新范式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524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浙江婺剧艺术研究院（浙江婺剧团）</w:t>
            </w:r>
          </w:p>
        </w:tc>
      </w:tr>
      <w:tr w14:paraId="177FD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148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4A80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安徽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BA5F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从“扁担下乡”到“云端上线”：怀宁县黄梅戏剧团以直播反哺舞台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788F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怀宁县黄梅戏剧团</w:t>
            </w:r>
          </w:p>
        </w:tc>
      </w:tr>
      <w:tr w14:paraId="6771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6AE1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6B1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福建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07963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古老剧种生新态：全国南戏展演全媒体品牌运营实践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563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福建省梨园戏传承中心</w:t>
            </w:r>
          </w:p>
        </w:tc>
      </w:tr>
      <w:tr w14:paraId="7B15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29D6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870B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湖北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C3B8F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馆播联动：武汉汉剧院在数字化博物馆与抖音直播间里重塑品牌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0E6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武汉汉剧院</w:t>
            </w:r>
          </w:p>
        </w:tc>
      </w:tr>
      <w:tr w14:paraId="7A3C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3753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AA9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广东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383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双擎驱动：广东粤剧院微信公众号与视频号矩阵运营实践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417A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广东粤剧院</w:t>
            </w:r>
          </w:p>
        </w:tc>
      </w:tr>
      <w:tr w14:paraId="0494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F4D7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4903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四川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04AA0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川剧生活美学：天青苑川剧团全媒体运营实现市场价值转化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60D6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绵阳市天青苑川剧团</w:t>
            </w:r>
          </w:p>
        </w:tc>
      </w:tr>
      <w:tr w14:paraId="7592E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7E7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E8C2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中直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686A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国粹入屏：国家京剧院构建京剧传播新形态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3925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国家京剧院</w:t>
            </w:r>
          </w:p>
        </w:tc>
      </w:tr>
      <w:tr w14:paraId="58D7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DA54B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6075E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eastAsia="zh-CN"/>
              </w:rPr>
              <w:t>平台</w:t>
            </w:r>
          </w:p>
        </w:tc>
        <w:tc>
          <w:tcPr>
            <w:tcW w:w="4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6CC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大小屏协同：《举世无双·2025稀有剧种盛典》系列活动赋能稀有剧种传承传播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3EB3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中央广播电视总台</w:t>
            </w:r>
          </w:p>
        </w:tc>
      </w:tr>
    </w:tbl>
    <w:p w14:paraId="3844D24B"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 w14:paraId="1721B91B"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 w14:paraId="169C619E"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</w:p>
    <w:p w14:paraId="4FADF29B">
      <w:pPr>
        <w:spacing w:line="600" w:lineRule="exact"/>
        <w:ind w:firstLine="727" w:firstLineChars="200"/>
        <w:jc w:val="center"/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</w:pPr>
      <w:r>
        <w:rPr>
          <w:rFonts w:hint="eastAsia" w:ascii="宋体" w:hAnsi="宋体" w:eastAsia="方正黑体_GBK" w:cs="方正黑体_GBK"/>
          <w:b/>
          <w:bCs/>
          <w:i w:val="0"/>
          <w:iCs w:val="0"/>
          <w:color w:val="000000"/>
          <w:spacing w:val="11"/>
          <w:kern w:val="2"/>
          <w:sz w:val="34"/>
          <w:szCs w:val="34"/>
          <w:u w:val="none"/>
          <w:lang w:val="en-US" w:eastAsia="zh-CN" w:bidi="ar"/>
        </w:rPr>
        <w:t>二、优秀案例</w:t>
      </w:r>
    </w:p>
    <w:p w14:paraId="1CA56DD3">
      <w:pPr>
        <w:numPr>
          <w:ilvl w:val="0"/>
          <w:numId w:val="0"/>
        </w:numPr>
        <w:spacing w:line="520" w:lineRule="exact"/>
        <w:rPr>
          <w:rFonts w:hint="eastAsia" w:ascii="宋体" w:hAnsi="宋体" w:eastAsia="方正小标宋_GBK" w:cs="方正小标宋_GBK"/>
          <w:i w:val="0"/>
          <w:iCs w:val="0"/>
          <w:kern w:val="2"/>
          <w:sz w:val="48"/>
          <w:szCs w:val="48"/>
          <w:u w:val="none"/>
          <w:lang w:val="en-US" w:eastAsia="zh-CN" w:bidi="ar"/>
        </w:rPr>
      </w:pPr>
    </w:p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53"/>
        <w:gridCol w:w="4806"/>
        <w:gridCol w:w="2664"/>
      </w:tblGrid>
      <w:tr w14:paraId="69AF8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E0AC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4FEFA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申报地区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05DB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D1E4">
            <w:pPr>
              <w:keepNext w:val="0"/>
              <w:keepLines w:val="0"/>
              <w:widowControl/>
              <w:suppressLineNumbers w:val="0"/>
              <w:spacing w:line="52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案例主办单位</w:t>
            </w:r>
          </w:p>
        </w:tc>
      </w:tr>
      <w:tr w14:paraId="06A89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D2421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FF5F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DA4A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梅韵霓裳：北京京剧院藏梅派戏曲服饰的VR全景复刻传播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173E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北京京剧院</w:t>
            </w:r>
          </w:p>
        </w:tc>
      </w:tr>
      <w:tr w14:paraId="6074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D5730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2E66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7536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氍毹绝艺：中国京剧流派口述影像抢救性记录与立体化传播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E416E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北京文化艺术音像出版有限责任公司</w:t>
            </w:r>
          </w:p>
        </w:tc>
      </w:tr>
      <w:tr w14:paraId="0AC8B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C109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33758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天津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345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唱红中国：中国大戏院全维度传播焕新九秩老戏院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C532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天津市中国大戏院有限公司</w:t>
            </w:r>
          </w:p>
        </w:tc>
      </w:tr>
      <w:tr w14:paraId="6552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6E69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2ACA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山西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E3E6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艺术之旅：山西戏曲多剧种“演、讲、评、谈”公益普及传播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BF29E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山西省演出行业协会</w:t>
            </w:r>
          </w:p>
        </w:tc>
      </w:tr>
      <w:tr w14:paraId="39A3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9FE80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7961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江苏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46CC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auto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新华日报“昆虫记”戏曲工作室：以垂类深耕与社群共创拓展戏曲传播空间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7FDDC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新华日报社、江南时报社</w:t>
            </w:r>
          </w:p>
        </w:tc>
      </w:tr>
      <w:tr w14:paraId="0C2E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3FCD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651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陕西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E49AF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left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易俗有戏：常态化直播激活百年剧社品牌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F7C4">
            <w:pPr>
              <w:keepNext w:val="0"/>
              <w:keepLines w:val="0"/>
              <w:widowControl w:val="0"/>
              <w:suppressLineNumbers w:val="0"/>
              <w:snapToGrid w:val="0"/>
              <w:spacing w:line="52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spacing w:val="11"/>
                <w:kern w:val="2"/>
                <w:sz w:val="32"/>
                <w:szCs w:val="32"/>
                <w:u w:val="none"/>
                <w:lang w:val="en-US" w:eastAsia="zh-CN" w:bidi="ar"/>
              </w:rPr>
              <w:t>西安易俗社有限公司</w:t>
            </w:r>
          </w:p>
        </w:tc>
      </w:tr>
    </w:tbl>
    <w:p w14:paraId="4E7226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94CB2"/>
    <w:rsid w:val="1819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2026-07-13T01:42:00Z</dcterms:created>
  <dc:creator>艾米尔_马</dc:creator>
  <cp:lastModifiedBy>艾米尔_马</cp:lastModifiedBy>
  <dcterms:modified xsi:type="dcterms:W3CDTF">2026-07-13T01:42:34Z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896514A7E6B74D7A9906BB83F523A05D_11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