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jc w:val="both"/>
        <w:textAlignment w:val="auto"/>
        <w:rPr>
          <w:rFonts w:hint="default" w:ascii="方正黑体_GBK" w:hAnsi="方正黑体_GBK" w:eastAsia="方正黑体_GBK" w:cs="方正黑体_GBK"/>
          <w:b/>
          <w:bCs/>
          <w:spacing w:val="11"/>
          <w:sz w:val="34"/>
          <w:szCs w:val="3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pacing w:val="11"/>
          <w:sz w:val="34"/>
          <w:szCs w:val="34"/>
          <w:lang w:val="en-US" w:eastAsia="zh-CN"/>
        </w:rPr>
        <w:t>附件</w:t>
      </w:r>
    </w:p>
    <w:p>
      <w:pPr>
        <w:rPr>
          <w:rFonts w:hint="default"/>
          <w:lang w:val="en" w:eastAsia="zh-CN"/>
        </w:rPr>
      </w:pPr>
    </w:p>
    <w:p>
      <w:pPr>
        <w:jc w:val="center"/>
        <w:rPr>
          <w:rFonts w:hint="eastAsia" w:ascii="宋体" w:hAnsi="宋体" w:eastAsia="方正小标宋_GBK" w:cs="方正小标宋_GBK"/>
          <w:i w:val="0"/>
          <w:iCs w:val="0"/>
          <w:kern w:val="2"/>
          <w:sz w:val="48"/>
          <w:szCs w:val="48"/>
          <w:u w:val="none"/>
          <w:lang w:val="en-US" w:eastAsia="zh-CN" w:bidi="ar"/>
        </w:rPr>
      </w:pPr>
      <w:r>
        <w:rPr>
          <w:rFonts w:hint="eastAsia" w:ascii="宋体" w:hAnsi="宋体" w:eastAsia="方正小标宋_GBK" w:cs="方正小标宋_GBK"/>
          <w:i w:val="0"/>
          <w:iCs w:val="0"/>
          <w:kern w:val="2"/>
          <w:sz w:val="48"/>
          <w:szCs w:val="48"/>
          <w:u w:val="none"/>
          <w:lang w:val="en-US" w:eastAsia="zh-CN" w:bidi="ar"/>
        </w:rPr>
        <w:t>戏曲全媒体传播优秀案例拟入选名单</w:t>
      </w:r>
    </w:p>
    <w:p>
      <w:pPr>
        <w:pStyle w:val="2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kern w:val="2"/>
          <w:sz w:val="36"/>
          <w:szCs w:val="36"/>
          <w:u w:val="none"/>
          <w:lang w:val="en-US" w:eastAsia="zh-CN" w:bidi="ar"/>
        </w:rPr>
        <w:t>（按行政区划排序）</w:t>
      </w:r>
    </w:p>
    <w:p>
      <w:pPr>
        <w:spacing w:line="600" w:lineRule="exact"/>
        <w:ind w:firstLine="727" w:firstLineChars="200"/>
        <w:jc w:val="center"/>
        <w:rPr>
          <w:rFonts w:hint="eastAsia" w:ascii="宋体" w:hAnsi="宋体" w:eastAsia="方正小标宋_GBK" w:cs="方正小标宋_GBK"/>
          <w:i w:val="0"/>
          <w:iCs w:val="0"/>
          <w:kern w:val="2"/>
          <w:sz w:val="48"/>
          <w:szCs w:val="48"/>
          <w:u w:val="none"/>
          <w:lang w:val="en-US" w:eastAsia="zh-CN" w:bidi="ar"/>
        </w:rPr>
      </w:pPr>
      <w:r>
        <w:rPr>
          <w:rFonts w:hint="eastAsia" w:ascii="宋体" w:hAnsi="宋体" w:eastAsia="方正黑体_GBK" w:cs="方正黑体_GBK"/>
          <w:b/>
          <w:bCs/>
          <w:i w:val="0"/>
          <w:iCs w:val="0"/>
          <w:color w:val="000000"/>
          <w:spacing w:val="11"/>
          <w:kern w:val="2"/>
          <w:sz w:val="34"/>
          <w:szCs w:val="34"/>
          <w:u w:val="none"/>
          <w:lang w:val="en-US" w:eastAsia="zh-CN" w:bidi="ar"/>
        </w:rPr>
        <w:t>一、十佳案例</w:t>
      </w:r>
    </w:p>
    <w:tbl>
      <w:tblPr>
        <w:tblStyle w:val="7"/>
        <w:tblW w:w="91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903"/>
        <w:gridCol w:w="4956"/>
        <w:gridCol w:w="26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申报地区</w:t>
            </w: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案例主办单位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江苏</w:t>
            </w: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梨园古韵绽放时代新声：戏曲百戏（昆山）盛典品牌建设与全媒体传播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江苏省文化和旅游厅、苏州市文化广电和旅游局、昆山市文体广电和旅游局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-SA"/>
              </w:rPr>
              <w:t>2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浙江</w:t>
            </w: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2025越剧春节晚会全媒体传播：让越剧走向全民与世界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浙江广播电视集团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浙江</w:t>
            </w: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婺剧《三打白骨精》“破圈”：传统戏曲当代传播新范式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浙江婺剧艺术研究院（浙江婺剧团）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-SA"/>
              </w:rPr>
              <w:t>4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安徽</w:t>
            </w: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从“扁担下乡”到“云端上线”：怀宁县黄梅戏剧团以直播反哺舞台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怀宁县黄梅戏剧团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福建</w:t>
            </w: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古老剧种生新态：全国南戏展演全媒体品牌运营实践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福建省梨园戏传承中心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-SA"/>
              </w:rPr>
              <w:t>6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湖北</w:t>
            </w: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馆播联动：武汉汉剧院在数字化博物馆与抖音直播间里重塑品牌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武汉汉剧院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-SA"/>
              </w:rPr>
              <w:t>7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广东</w:t>
            </w: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双擎驱动：广东粤剧院微信公众号与视频号矩阵运营实践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广东粤剧院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四川</w:t>
            </w: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川剧生活美学：天青苑川剧团全媒体运营实现市场价值转化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绵阳市天青苑川剧团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-SA"/>
              </w:rPr>
              <w:t>9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中直</w:t>
            </w: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国粹入屏：国家京剧院构建京剧传播新形态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国家京剧院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  <w:lang w:eastAsia="zh-CN"/>
              </w:rPr>
              <w:t>平台</w:t>
            </w: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大小屏协同：《举世无双·2025稀有剧种盛典》系列活动赋能稀有剧种传承传播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中央广播电视总台</w:t>
            </w:r>
          </w:p>
        </w:tc>
      </w:tr>
    </w:tbl>
    <w:p>
      <w:pPr>
        <w:spacing w:line="600" w:lineRule="exact"/>
        <w:jc w:val="both"/>
        <w:rPr>
          <w:rFonts w:hint="eastAsia" w:ascii="宋体" w:hAnsi="宋体" w:eastAsia="方正黑体_GBK" w:cs="方正黑体_GBK"/>
          <w:b/>
          <w:bCs/>
          <w:i w:val="0"/>
          <w:iCs w:val="0"/>
          <w:color w:val="000000"/>
          <w:spacing w:val="11"/>
          <w:kern w:val="2"/>
          <w:sz w:val="34"/>
          <w:szCs w:val="34"/>
          <w:u w:val="none"/>
          <w:lang w:val="en-US" w:eastAsia="zh-CN" w:bidi="ar"/>
        </w:rPr>
      </w:pPr>
    </w:p>
    <w:p>
      <w:pPr>
        <w:spacing w:line="600" w:lineRule="exact"/>
        <w:ind w:firstLine="727" w:firstLineChars="200"/>
        <w:jc w:val="center"/>
        <w:rPr>
          <w:rFonts w:hint="eastAsia" w:ascii="宋体" w:hAnsi="宋体" w:eastAsia="方正黑体_GBK" w:cs="方正黑体_GBK"/>
          <w:b/>
          <w:bCs/>
          <w:i w:val="0"/>
          <w:iCs w:val="0"/>
          <w:color w:val="000000"/>
          <w:spacing w:val="11"/>
          <w:kern w:val="2"/>
          <w:sz w:val="34"/>
          <w:szCs w:val="34"/>
          <w:u w:val="none"/>
          <w:lang w:val="en-US" w:eastAsia="zh-CN" w:bidi="ar"/>
        </w:rPr>
      </w:pPr>
    </w:p>
    <w:p>
      <w:pPr>
        <w:spacing w:line="600" w:lineRule="exact"/>
        <w:ind w:firstLine="727" w:firstLineChars="200"/>
        <w:jc w:val="center"/>
        <w:rPr>
          <w:rFonts w:hint="eastAsia" w:ascii="宋体" w:hAnsi="宋体" w:eastAsia="方正黑体_GBK" w:cs="方正黑体_GBK"/>
          <w:b/>
          <w:bCs/>
          <w:i w:val="0"/>
          <w:iCs w:val="0"/>
          <w:color w:val="000000"/>
          <w:spacing w:val="11"/>
          <w:kern w:val="2"/>
          <w:sz w:val="34"/>
          <w:szCs w:val="34"/>
          <w:u w:val="none"/>
          <w:lang w:val="en-US" w:eastAsia="zh-CN" w:bidi="ar"/>
        </w:rPr>
      </w:pPr>
    </w:p>
    <w:p>
      <w:pPr>
        <w:spacing w:line="600" w:lineRule="exact"/>
        <w:jc w:val="both"/>
        <w:rPr>
          <w:rFonts w:hint="eastAsia" w:ascii="宋体" w:hAnsi="宋体" w:eastAsia="方正黑体_GBK" w:cs="方正黑体_GBK"/>
          <w:b/>
          <w:bCs/>
          <w:i w:val="0"/>
          <w:iCs w:val="0"/>
          <w:color w:val="000000"/>
          <w:spacing w:val="11"/>
          <w:kern w:val="2"/>
          <w:sz w:val="34"/>
          <w:szCs w:val="34"/>
          <w:u w:val="none"/>
          <w:lang w:val="en-US" w:eastAsia="zh-CN" w:bidi="ar"/>
        </w:rPr>
      </w:pPr>
    </w:p>
    <w:p>
      <w:pPr>
        <w:spacing w:line="600" w:lineRule="exact"/>
        <w:ind w:firstLine="727" w:firstLineChars="200"/>
        <w:jc w:val="center"/>
        <w:rPr>
          <w:rFonts w:hint="eastAsia" w:ascii="宋体" w:hAnsi="宋体" w:eastAsia="方正黑体_GBK" w:cs="方正黑体_GBK"/>
          <w:b/>
          <w:bCs/>
          <w:i w:val="0"/>
          <w:iCs w:val="0"/>
          <w:color w:val="000000"/>
          <w:spacing w:val="11"/>
          <w:kern w:val="2"/>
          <w:sz w:val="34"/>
          <w:szCs w:val="34"/>
          <w:u w:val="none"/>
          <w:lang w:val="en-US" w:eastAsia="zh-CN" w:bidi="ar"/>
        </w:rPr>
      </w:pPr>
      <w:r>
        <w:rPr>
          <w:rFonts w:hint="eastAsia" w:ascii="宋体" w:hAnsi="宋体" w:eastAsia="方正黑体_GBK" w:cs="方正黑体_GBK"/>
          <w:b/>
          <w:bCs/>
          <w:i w:val="0"/>
          <w:iCs w:val="0"/>
          <w:color w:val="000000"/>
          <w:spacing w:val="11"/>
          <w:kern w:val="2"/>
          <w:sz w:val="34"/>
          <w:szCs w:val="34"/>
          <w:u w:val="none"/>
          <w:lang w:val="en-US" w:eastAsia="zh-CN" w:bidi="ar"/>
        </w:rPr>
        <w:t>二、优秀案例</w:t>
      </w:r>
    </w:p>
    <w:p>
      <w:pPr>
        <w:numPr>
          <w:ilvl w:val="0"/>
          <w:numId w:val="0"/>
        </w:numPr>
        <w:spacing w:line="520" w:lineRule="exact"/>
        <w:rPr>
          <w:rFonts w:hint="eastAsia" w:ascii="宋体" w:hAnsi="宋体" w:eastAsia="方正小标宋_GBK" w:cs="方正小标宋_GBK"/>
          <w:i w:val="0"/>
          <w:iCs w:val="0"/>
          <w:kern w:val="2"/>
          <w:sz w:val="48"/>
          <w:szCs w:val="48"/>
          <w:u w:val="none"/>
          <w:lang w:val="en-US" w:eastAsia="zh-CN" w:bidi="ar"/>
        </w:rPr>
      </w:pPr>
    </w:p>
    <w:tbl>
      <w:tblPr>
        <w:tblStyle w:val="7"/>
        <w:tblW w:w="91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053"/>
        <w:gridCol w:w="4806"/>
        <w:gridCol w:w="26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申报地区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案例主办单位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北京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梅韵霓裳：北京京剧院藏梅派戏曲服饰的VR全景复刻传播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北京京剧院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-SA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北京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氍毹绝艺：中国京剧流派口述影像抢救性记录与立体化传播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北京文化艺术音像出版有限责任公司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天津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唱红中国：中国大戏院全维度传播焕新九秩老戏院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天津市中国大戏院有限公司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山西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auto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艺术之旅：山西戏曲多剧种“演、讲、评、谈”公益普及传播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山西省演出行业协会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江苏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auto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新华日报“昆虫记”戏曲工作室：以垂类深耕与社群共创拓展戏曲传播空间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新华日报社、江南时报社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-SA"/>
              </w:rPr>
              <w:t>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陕西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易俗有戏：常态化直播激活百年剧社品牌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西安易俗社有限公司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47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8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3"/>
    <w:qFormat/>
    <w:uiPriority w:val="0"/>
    <w:pPr>
      <w:spacing w:line="240" w:lineRule="auto"/>
      <w:ind w:firstLine="420" w:firstLineChars="100"/>
    </w:pPr>
    <w:rPr>
      <w:rFonts w:ascii="Calibri" w:hAnsi="Calibri" w:eastAsia="宋体"/>
      <w:sz w:val="21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2026-06-22T07:12:47Z</dcterms:created>
  <dc:creator>LL</dc:creator>
  <cp:lastModifiedBy>lxx</cp:lastModifiedBy>
  <dcterms:modified xsi:type="dcterms:W3CDTF">2026-06-22T07:13:00Z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