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附件5：</w:t>
      </w:r>
    </w:p>
    <w:p>
      <w:pPr>
        <w:autoSpaceDN w:val="0"/>
        <w:spacing w:after="93" w:afterLines="3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</w:t>
      </w:r>
      <w:r>
        <w:rPr>
          <w:rFonts w:hint="eastAsia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年度全国星级饭店财务经营状况与上年同比情况</w:t>
      </w:r>
    </w:p>
    <w:tbl>
      <w:tblPr>
        <w:tblStyle w:val="2"/>
        <w:tblW w:w="14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20"/>
        <w:gridCol w:w="1149"/>
        <w:gridCol w:w="973"/>
        <w:gridCol w:w="759"/>
        <w:gridCol w:w="1004"/>
        <w:gridCol w:w="759"/>
        <w:gridCol w:w="1004"/>
        <w:gridCol w:w="759"/>
        <w:gridCol w:w="899"/>
        <w:gridCol w:w="814"/>
        <w:gridCol w:w="795"/>
        <w:gridCol w:w="759"/>
        <w:gridCol w:w="1073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 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单  位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五星级</w:t>
            </w: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同比%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四星级</w:t>
            </w: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同比%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三星级</w:t>
            </w: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同比%</w:t>
            </w: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二星级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同比%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一星级</w:t>
            </w: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同比%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合  计</w:t>
            </w: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同比%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资产负债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2259.91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-0.89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2318.81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7.63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1513.21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1.84 </w:t>
            </w:r>
          </w:p>
        </w:tc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250.86 </w:t>
            </w:r>
          </w:p>
        </w:tc>
        <w:tc>
          <w:tcPr>
            <w:tcW w:w="8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-8.37 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4.86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-10.69 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6347.65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固定资产原值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1881.94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6.98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1749.60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8.02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1184.88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2.16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196.44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-12.26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4.84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-2.12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5017.70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累计折旧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783.68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12.77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758.48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10.66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486.09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7.98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68.40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-8.31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1.67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2.92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2098.32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流动资产总额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782.90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11.97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847.59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7.52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542.28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7.00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93.46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-3.85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-6.67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2267.78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负债总额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1535.17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-4.96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1672.42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8.44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1024.44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3.44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144.89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-24.20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1.83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-0.51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4378.75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所有者权益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727.90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9.11 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651.50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6.51 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476.79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-3.70 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106.69 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30.05 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3.09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-14.45 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1965.97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损益及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分配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营业收入总额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761.45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-1.15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776.66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-6.38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630.77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-8.77 </w:t>
            </w:r>
          </w:p>
        </w:tc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121.02 </w:t>
            </w:r>
          </w:p>
        </w:tc>
        <w:tc>
          <w:tcPr>
            <w:tcW w:w="8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-10.99 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3.03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2.73 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2292.93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客房收入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345.96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1.96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332.87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-1.66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259.32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-3.58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53.38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-13.67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-18.09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992.95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占营业收入比重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45.43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3.15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42.86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5.05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41.11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5.69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44.10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-3.00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47.08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-20.26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43.31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餐饮收入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309.65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-6.50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334.79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-11.96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274.45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-13.44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50.56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-13.77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7.73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970.58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占营业收入比重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40.67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-5.42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43.11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-5.95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43.51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-5.12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41.78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-3.12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37.30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4.87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42.33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营业利润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23.20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-38.73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--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-25.55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2.71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--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0.11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--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-38.26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29.96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-32.89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--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-21.15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3.07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ind w:firstLine="270" w:firstLineChars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0.13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-20.88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实缴税金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亿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64.69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4.47 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79.23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-3.81 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50.05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-12.93 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9.43 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-14.25 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0.32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-14.43 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203.72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员工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从业人员年均数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万人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33.31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4.27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52.38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-0.65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53.00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-12.02 </w:t>
            </w:r>
          </w:p>
        </w:tc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11.28 </w:t>
            </w:r>
          </w:p>
        </w:tc>
        <w:tc>
          <w:tcPr>
            <w:tcW w:w="8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-18.15 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0.27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-26.60 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150.24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大专以上学历人数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万人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10.07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3.48 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11.30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-9.73 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9.27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-11.74 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1.70 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-15.54 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0.04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-30.51 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32.38 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-7.01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客房出租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客房数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万间/套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26.11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3.59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46.28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5.82 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62.07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2.91 </w:t>
            </w:r>
          </w:p>
        </w:tc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18.87 </w:t>
            </w:r>
          </w:p>
        </w:tc>
        <w:tc>
          <w:tcPr>
            <w:tcW w:w="8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-4.49 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0.58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-17.86 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153.91 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床位数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万张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39.49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2.51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84.08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5.71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110.89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2.57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34.97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-5.33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1.07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-21.90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270.50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可供出租间夜数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万间夜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8978.73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12.60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16039.26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4.90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21535.10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2.38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6492.81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-8.58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214.72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-14.88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53260.62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实际出租间夜数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万间夜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5033.20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5.35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9176.24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-1.02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11982.13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-3.84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3509.41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-13.71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110.64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-19.30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29811.62 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-2.93 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29"/>
        <w:gridCol w:w="1260"/>
        <w:gridCol w:w="991"/>
        <w:gridCol w:w="720"/>
        <w:gridCol w:w="981"/>
        <w:gridCol w:w="1040"/>
        <w:gridCol w:w="1080"/>
        <w:gridCol w:w="720"/>
        <w:gridCol w:w="900"/>
        <w:gridCol w:w="720"/>
        <w:gridCol w:w="964"/>
        <w:gridCol w:w="656"/>
        <w:gridCol w:w="859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经营指标</w:t>
            </w: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平均房价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687.36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-3.22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362.76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-0.64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216.42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0.27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152.09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0.04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128.75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1.50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333.08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平均出租率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56.06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-5.08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57.21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-5.00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55.64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-6.78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54.05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-5.26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51.53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-5.56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55.97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每间可供出租客房收入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元/间夜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385.33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-9.45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207.53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-6.25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120.42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-5.82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82.20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-5.57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66.34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-3.77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186.42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-4.68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每间客房平摊营业收入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千元/间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291.66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-4.57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167.81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-11.53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101.62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-11.35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64.15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-6.81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52.11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25.07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148.98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-8.22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全员劳动生产率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228.62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-5.20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148.27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-5.77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119.01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3.70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107.33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8.74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109.87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39.96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152.62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人均实现利润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8.99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--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-6.28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--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-3.99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--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4.48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--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-1.39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人均利税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19.42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0.19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15.13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-3.14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9.44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-1.04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8.36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-19.68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11.73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-37.92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13.56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人均占用固定资产原值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565.05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2.60 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334.00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8.73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223.56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16.12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174.22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7.19 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175.37 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33.34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333.98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百元固定资产创营业收入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元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40.46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-7.59 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44.39 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-13.34 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53.24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-10.69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61.61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1.44 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62.65 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4.96 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45.70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-10.35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A172A"/>
    <w:rsid w:val="5F2A172A"/>
    <w:rsid w:val="769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2019-11-07T10:59:00Z</dcterms:created>
  <dc:creator>芦苇薇薇</dc:creator>
  <cp:lastModifiedBy>芦苇薇薇</cp:lastModifiedBy>
  <dcterms:modified xsi:type="dcterms:W3CDTF">2019-11-07T11:02:55Z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