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6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ind w:left="523" w:leftChars="249"/>
              <w:jc w:val="left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32"/>
              </w:rPr>
              <w:t>附件5：</w:t>
            </w:r>
          </w:p>
          <w:p>
            <w:pPr>
              <w:widowControl/>
              <w:autoSpaceDN w:val="0"/>
              <w:spacing w:before="156" w:beforeLines="50"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2014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年第</w:t>
            </w:r>
            <w:r>
              <w:rPr>
                <w:rFonts w:hint="eastAsia" w:hAnsi="黑体" w:eastAsia="黑体"/>
                <w:b/>
                <w:bCs/>
                <w:kern w:val="0"/>
                <w:sz w:val="32"/>
                <w:szCs w:val="32"/>
              </w:rPr>
              <w:t>二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季度全国</w:t>
            </w: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50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个重点旅游城市星级饭店经营情况统计表（按地区分）</w:t>
            </w:r>
          </w:p>
          <w:p>
            <w:pPr>
              <w:widowControl/>
              <w:autoSpaceDN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tbl>
            <w:tblPr>
              <w:tblStyle w:val="2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0"/>
              <w:gridCol w:w="759"/>
              <w:gridCol w:w="958"/>
              <w:gridCol w:w="900"/>
              <w:gridCol w:w="1044"/>
              <w:gridCol w:w="849"/>
              <w:gridCol w:w="741"/>
              <w:gridCol w:w="1106"/>
              <w:gridCol w:w="1161"/>
              <w:gridCol w:w="846"/>
              <w:gridCol w:w="884"/>
              <w:gridCol w:w="881"/>
              <w:gridCol w:w="928"/>
              <w:gridCol w:w="859"/>
              <w:gridCol w:w="928"/>
              <w:gridCol w:w="846"/>
              <w:gridCol w:w="95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1210" w:type="dxa"/>
                  <w:vMerge w:val="restart"/>
                  <w:tcBorders>
                    <w:top w:val="single" w:color="auto" w:sz="18" w:space="0"/>
                    <w:left w:val="nil"/>
                    <w:bottom w:val="single" w:color="auto" w:sz="12" w:space="0"/>
                    <w:right w:val="single" w:color="auto" w:sz="18" w:space="0"/>
                    <w:tl2br w:val="single" w:color="auto" w:sz="12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   指标</w:t>
                  </w:r>
                </w:p>
                <w:p>
                  <w:pP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  <w:p>
                  <w:pPr>
                    <w:rPr>
                      <w:rFonts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  <w:t>地区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single" w:color="auto" w:sz="18" w:space="0"/>
                    <w:left w:val="single" w:color="auto" w:sz="1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kern w:val="0"/>
                      <w:sz w:val="18"/>
                      <w:szCs w:val="18"/>
                    </w:rPr>
                    <w:t>数量（家）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kern w:val="0"/>
                      <w:sz w:val="18"/>
                      <w:szCs w:val="18"/>
                    </w:rPr>
                    <w:t>营业收入</w:t>
                  </w:r>
                </w:p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kern w:val="0"/>
                      <w:sz w:val="18"/>
                      <w:szCs w:val="18"/>
                    </w:rPr>
                    <w:t>（亿元）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餐饮收入比重（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044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1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客房收入比重（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single" w:color="auto" w:sz="18" w:space="0"/>
                    <w:left w:val="single" w:color="auto" w:sz="1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平均房价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元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间夜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41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平均出租率（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每间可供出租客房收入（元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间夜）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1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每间客房平摊营业收入</w:t>
                  </w:r>
                  <w:r>
                    <w:rPr>
                      <w:rFonts w:hAnsi="黑体" w:eastAsia="黑体"/>
                      <w:b/>
                      <w:bCs/>
                      <w:sz w:val="18"/>
                      <w:szCs w:val="18"/>
                    </w:rPr>
                    <w:t>（元</w:t>
                  </w:r>
                  <w:r>
                    <w:rPr>
                      <w:rFonts w:eastAsia="黑体"/>
                      <w:b/>
                      <w:bCs/>
                      <w:sz w:val="18"/>
                      <w:szCs w:val="18"/>
                    </w:rPr>
                    <w:t>/</w:t>
                  </w:r>
                  <w:r>
                    <w:rPr>
                      <w:rFonts w:hAnsi="黑体" w:eastAsia="黑体"/>
                      <w:b/>
                      <w:bCs/>
                      <w:sz w:val="18"/>
                      <w:szCs w:val="18"/>
                    </w:rPr>
                    <w:t>间）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color="auto" w:sz="18" w:space="0"/>
                    <w:left w:val="single" w:color="auto" w:sz="18" w:space="0"/>
                    <w:bottom w:val="single" w:color="000000" w:sz="8" w:space="0"/>
                    <w:right w:val="nil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平均房价比较</w:t>
                  </w:r>
                </w:p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single" w:color="auto" w:sz="18" w:space="0"/>
                    <w:left w:val="single" w:color="auto" w:sz="12" w:space="0"/>
                    <w:bottom w:val="single" w:color="000000" w:sz="8" w:space="0"/>
                    <w:right w:val="nil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平均出租率比较</w:t>
                  </w:r>
                </w:p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color="auto" w:sz="18" w:space="0"/>
                    <w:left w:val="single" w:color="auto" w:sz="12" w:space="0"/>
                    <w:bottom w:val="single" w:color="000000" w:sz="8" w:space="0"/>
                    <w:right w:val="nil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每间可供出租客房</w:t>
                  </w:r>
                </w:p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收入比较（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single" w:color="auto" w:sz="18" w:space="0"/>
                    <w:left w:val="single" w:color="auto" w:sz="12" w:space="0"/>
                    <w:bottom w:val="single" w:color="000000" w:sz="8" w:space="0"/>
                    <w:right w:val="nil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每间客房平摊营业收入比较（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10" w:type="dxa"/>
                  <w:vMerge w:val="continue"/>
                  <w:tcBorders>
                    <w:left w:val="nil"/>
                    <w:bottom w:val="single" w:color="auto" w:sz="18" w:space="0"/>
                    <w:right w:val="single" w:color="auto" w:sz="18" w:space="0"/>
                    <w:tl2br w:val="single" w:color="auto" w:sz="12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  <w:vMerge w:val="continue"/>
                  <w:tcBorders>
                    <w:top w:val="single" w:color="auto" w:sz="12" w:space="0"/>
                    <w:left w:val="single" w:color="auto" w:sz="1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8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1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vMerge w:val="continue"/>
                  <w:tcBorders>
                    <w:top w:val="single" w:color="auto" w:sz="12" w:space="0"/>
                    <w:left w:val="single" w:color="auto" w:sz="1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1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环比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同比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single" w:color="auto" w:sz="12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环比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同比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single" w:color="auto" w:sz="12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环比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同比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2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环比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single" w:color="auto" w:sz="8" w:space="0"/>
                    <w:bottom w:val="single" w:color="auto" w:sz="1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同比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  <w:jc w:val="center"/>
              </w:trPr>
              <w:tc>
                <w:tcPr>
                  <w:tcW w:w="1210" w:type="dxa"/>
                  <w:tcBorders>
                    <w:top w:val="single" w:color="auto" w:sz="18" w:space="0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北京</w:t>
                  </w:r>
                </w:p>
              </w:tc>
              <w:tc>
                <w:tcPr>
                  <w:tcW w:w="759" w:type="dxa"/>
                  <w:tcBorders>
                    <w:top w:val="single" w:color="auto" w:sz="18" w:space="0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591</w:t>
                  </w:r>
                </w:p>
              </w:tc>
              <w:tc>
                <w:tcPr>
                  <w:tcW w:w="958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66.19 </w:t>
                  </w:r>
                </w:p>
              </w:tc>
              <w:tc>
                <w:tcPr>
                  <w:tcW w:w="900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30.57</w:t>
                  </w:r>
                </w:p>
              </w:tc>
              <w:tc>
                <w:tcPr>
                  <w:tcW w:w="1044" w:type="dxa"/>
                  <w:tcBorders>
                    <w:top w:val="single" w:color="auto" w:sz="18" w:space="0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48.39</w:t>
                  </w:r>
                </w:p>
              </w:tc>
              <w:tc>
                <w:tcPr>
                  <w:tcW w:w="849" w:type="dxa"/>
                  <w:tcBorders>
                    <w:top w:val="single" w:color="auto" w:sz="18" w:space="0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517.53</w:t>
                  </w:r>
                </w:p>
              </w:tc>
              <w:tc>
                <w:tcPr>
                  <w:tcW w:w="741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58.71</w:t>
                  </w:r>
                </w:p>
              </w:tc>
              <w:tc>
                <w:tcPr>
                  <w:tcW w:w="1106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303.83</w:t>
                  </w:r>
                </w:p>
              </w:tc>
              <w:tc>
                <w:tcPr>
                  <w:tcW w:w="1161" w:type="dxa"/>
                  <w:tcBorders>
                    <w:top w:val="single" w:color="auto" w:sz="18" w:space="0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55607.39</w:t>
                  </w:r>
                </w:p>
              </w:tc>
              <w:tc>
                <w:tcPr>
                  <w:tcW w:w="846" w:type="dxa"/>
                  <w:tcBorders>
                    <w:top w:val="single" w:color="auto" w:sz="18" w:space="0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-0.05 </w:t>
                  </w:r>
                </w:p>
              </w:tc>
              <w:tc>
                <w:tcPr>
                  <w:tcW w:w="884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-1.47 </w:t>
                  </w:r>
                </w:p>
              </w:tc>
              <w:tc>
                <w:tcPr>
                  <w:tcW w:w="881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23.10 </w:t>
                  </w:r>
                </w:p>
              </w:tc>
              <w:tc>
                <w:tcPr>
                  <w:tcW w:w="928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-0.35 </w:t>
                  </w:r>
                </w:p>
              </w:tc>
              <w:tc>
                <w:tcPr>
                  <w:tcW w:w="859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23.04 </w:t>
                  </w:r>
                </w:p>
              </w:tc>
              <w:tc>
                <w:tcPr>
                  <w:tcW w:w="928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-1.81 </w:t>
                  </w:r>
                </w:p>
              </w:tc>
              <w:tc>
                <w:tcPr>
                  <w:tcW w:w="846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16.86 </w:t>
                  </w:r>
                </w:p>
              </w:tc>
              <w:tc>
                <w:tcPr>
                  <w:tcW w:w="951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-2.11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天津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95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6.49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37.35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50.33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411.76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49.94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205.63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34091.20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4.42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2.21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18.12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-1.49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23.34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0.69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16.37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-12.27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石家庄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3.28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48.05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38.09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292.04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46.87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136.89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29119.06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-8.34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-5.87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15.76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-8.23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6.10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-13.62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-11.79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-16.00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秦皇岛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1.22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46.42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45.04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282.05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28.33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79.89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15505.65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-6.05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0.78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31.09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-13.43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23.15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-12.75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3.06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-32.03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太原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3.42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40.32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45.54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322.83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57.82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186.68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33968.01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14.59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-3.68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14.88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-2.31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31.64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-5.90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22.75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-8.29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呼和浩特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1.86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47.89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41.32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347.67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42.37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147.29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31315.62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2.34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-8.63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13.99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-7.65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16.66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-15.62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3.42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-8.97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沈阳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4.43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44.27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43.39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315.28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53.85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169.76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34170.53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9.69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-1.54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20.65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-11.11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32.34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-12.48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43.28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-10.09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大连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139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6.75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41.56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46.15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332.70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52.07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173.24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30721.43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10.36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0.77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38.88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-3.92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53.26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-3.18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54.72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-7.66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长春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2.77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47.86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41.11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305.55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53.40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163.15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32739.23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-5.27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-4.14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16.88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4.83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10.71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0.49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13.62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-12.93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哈尔滨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3.38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36.52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48.22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337.22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53.39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180.03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33737.64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-9.05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-3.71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1.63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0.49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-7.57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-3.24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16.16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-5.35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上海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50.32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32.94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47.18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658.79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66.08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435.35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83402.85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7.14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0.45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20.68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10.23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29.30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10.73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27.16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14.41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南京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98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7.67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43.81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44.57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366.07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65.62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240.22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50866.38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-1.11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-3.67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13.75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3.35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12.48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-0.44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11.41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-0.33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苏州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117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9.33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52.38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40.09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380.50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52.74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200.69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45728.63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-3.21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3.63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27.13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5.85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23.05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9.69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8.15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6.52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无锡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5.01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59.86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33.65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368.33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54.77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201.72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54527.24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-0.93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0.89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22.55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2.33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21.40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3.24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5.12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-2.71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杭州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15.32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38.39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46.16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422.27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59.41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250.86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48161.78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7.33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5.46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25.54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-1.94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34.75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3.42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12.64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4.11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宁波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8.09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50.41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39.83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358.78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52.47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188.24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41824.46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1.78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1.34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14.33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1.28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16.36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2.63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-6.49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1.67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温州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5.88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53.22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37.41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361.44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61.24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221.33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53026.48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1.60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0.24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0.98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2.64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2.60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2.88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-19.38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5.84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合肥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3.84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47.73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44.63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317.55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59.88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190.15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37399.00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-0.97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-6.33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13.05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7.29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11.95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0.49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4.61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0.57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黄山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1.84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33.84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56.85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340.60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42.43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144.53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22343.09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24.71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11.04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46.13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9.36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82.24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21.43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57.88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10.64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FFFFFF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福州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FFFFFF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4.80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44.54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45.42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374.71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61.35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229.88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42969.20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-4.86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-7.67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3.57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-4.12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-1.46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-11.47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-7.69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-19.19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厦门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6.61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38.01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53.82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444.93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61.75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274.73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45209.68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-10.25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-3.91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7.58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5.28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-3.46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1.17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-7.86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3.44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泉州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90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4.81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51.78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32.88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288.12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54.68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157.56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41084.19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-2.52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-3.52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4.02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-8.52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1.40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-11.74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-2.50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-6.87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南昌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2.53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37.90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53.41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297.52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59.00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175.54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29106.95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5.49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-5.01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8.39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-4.42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14.34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-9.21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9.57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-1.73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济南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4.48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43.71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39.79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304.81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65.37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199.24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43577.57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-3.55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-2.90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19.30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-1.45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15.07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-4.31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9.52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-4.85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青岛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130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8.63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46.27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395.42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57.78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228.48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42935.28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15.61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0.09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33.45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-9.84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54.28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-9.76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41.83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0.97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郑州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1.53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42.97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44.81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303.44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59.56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180.71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31866.70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-1.17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-11.88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24.36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-5.42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22.90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-16.65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7.60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-26.49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洛阳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1.14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52.69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39.27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400.14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59.10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236.48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51999.73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79.22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31.11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5.22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-1.80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88.57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28.75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57.82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48.85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武汉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96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5.46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36.69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53.32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391.20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58.50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228.87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34573.96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-0.04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-7.47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17.89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-3.74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17.84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-10.92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15.64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10.98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宜昌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1.15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44.97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44.17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214.22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54.70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117.18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20885.24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-0.65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10.49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17.06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0.68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16.30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11.25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45.86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42.59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长沙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6.91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41.27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48.32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371.04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79.07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293.38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50921.67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2.28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8.13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8.12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-9.45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10.58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-2.09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10.50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-17.10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张家界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2.14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32.73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64.42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349.01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45.74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22.42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33072.98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-6.53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-1.32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3.60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-6.53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3.52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-3.18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4.65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-2.28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广州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19.75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30.86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51.11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503.78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62.17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313.19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36543.32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13.21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-0.95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11.69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-0.47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26.44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-1.42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-22.95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25.44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深圳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10.27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36.36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63.64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457.84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64.63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295.90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36892.53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2.88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0.33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6.79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1.27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9.87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1.61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4.35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-2.75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珠海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2.72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28.43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64.39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310.72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62.66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194.69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25785.94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0.00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2.97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0.00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8.63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-41.26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11.86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15.45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5.25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东莞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3.46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51.37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40.40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356.70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39.41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140.59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28732.62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9.99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0.84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8.27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-12.62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19.09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-11.89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-9.15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-29.90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南宁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2.18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39.36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49.56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242.65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57.89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140.46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23209.09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6.28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9.27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11.16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-4.00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18.14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4.90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8.12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0.54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桂林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1.92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28.77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52.11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215.84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48.18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103.98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17303.83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6.11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3.55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28.41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-4.98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36.25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-1.61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32.71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6.83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海口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1.77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31.74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54.92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291.82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48.20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140.67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22405.78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-7.94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-1.30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-17.51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-8.70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-24.06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-9.89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-20.05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-5.85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三亚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4.45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24.48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56.58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553.66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56.46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312.58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45680.64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-38.53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5.35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-25.21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6.43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-54.03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12.13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-43.44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0.25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重庆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10.01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37.80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50.27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319.72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57.51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183.86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32141.75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0.47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1.12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12.46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-1.22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12.98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-0.11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11.26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1.88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成都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128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9.03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33.39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47.55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461.30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48.25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222.57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37736.33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-0.14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-0.10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0.10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-9.71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-0.04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-9.80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0.29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-19.58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贵阳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2.91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35.52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54.47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366.93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58.28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213.86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34671.97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9.70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0.45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15.71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-9.31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26.93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-8.90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30.66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14.47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昆明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3.76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31.75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57.13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367.17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52.44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192.55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29224.62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11.51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-13.12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4.28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-16.79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16.28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-27.71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9.79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-27.00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丽江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96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0.97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15.28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81.73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215.83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49.86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107.61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11934.60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-3.22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6.93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-8.03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-28.61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-11.00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-23.66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-4.38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-24.85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拉萨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1.16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9.14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85.36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356.40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61.85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220.44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21846.72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-0.02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7.28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62.31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39.30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62.28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49.43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36.80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28.48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西安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6.70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37.24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53.26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331.41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58.02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192.27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31688.56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8.70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0.39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23.11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5.06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33.82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5.47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29.33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-1.23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兰州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1.79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29.44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55.74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281.76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56.42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158.96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23836.19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-0.24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-3.43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11.39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-11.77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11.12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-14.80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9.40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-23.02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西宁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1.23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41.95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53.26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302.63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42.57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128.84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21975.71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17.85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-22.22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41.14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-2.87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66.33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-24.45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27.98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-22.88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银川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1.12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44.87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45.64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279.56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51.90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145.08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22611.22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4.11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5.94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44.50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0.63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50.44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6.61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12.79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-7.50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single" w:color="auto" w:sz="18" w:space="0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乌鲁木齐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single" w:color="auto" w:sz="18" w:space="0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3.35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46.78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color="auto" w:sz="18" w:space="0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39.30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292.18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49.15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143.60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color="auto" w:sz="18" w:space="0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31914.30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single" w:color="auto" w:sz="18" w:space="0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3.78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-12.68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21.03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-9.55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25.61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-21.02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22.39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-14.66 </w:t>
                  </w:r>
                </w:p>
              </w:tc>
            </w:tr>
          </w:tbl>
          <w:p>
            <w:pPr>
              <w:widowControl/>
              <w:autoSpaceDN w:val="0"/>
              <w:spacing w:before="156" w:beforeLines="50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36EDF"/>
    <w:rsid w:val="6AB3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2019-11-07T08:20:00Z</dcterms:created>
  <dc:creator>芦苇薇薇</dc:creator>
  <cp:lastModifiedBy>芦苇薇薇</cp:lastModifiedBy>
  <dcterms:modified xsi:type="dcterms:W3CDTF">2019-11-07T08:20:14Z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