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eastAsia="仿宋_GB2312"/>
          <w:b/>
          <w:bCs/>
          <w:sz w:val="28"/>
        </w:rPr>
      </w:pPr>
      <w:r>
        <w:rPr>
          <w:rFonts w:eastAsia="仿宋_GB2312"/>
          <w:b/>
          <w:bCs/>
          <w:sz w:val="28"/>
        </w:rPr>
        <w:t>附件3：</w:t>
      </w:r>
    </w:p>
    <w:p>
      <w:pPr>
        <w:autoSpaceDN w:val="0"/>
        <w:rPr>
          <w:rFonts w:eastAsia="仿宋_GB2312"/>
          <w:b/>
          <w:bCs/>
          <w:sz w:val="28"/>
        </w:rPr>
      </w:pPr>
    </w:p>
    <w:p>
      <w:pPr>
        <w:widowControl/>
        <w:autoSpaceDN w:val="0"/>
        <w:spacing w:before="156" w:beforeLines="50"/>
        <w:jc w:val="center"/>
        <w:rPr>
          <w:rFonts w:eastAsia="黑体"/>
          <w:b/>
          <w:bCs/>
          <w:kern w:val="0"/>
          <w:sz w:val="32"/>
          <w:szCs w:val="32"/>
        </w:rPr>
      </w:pPr>
      <w:bookmarkStart w:id="0" w:name="_GoBack"/>
      <w:r>
        <w:rPr>
          <w:rFonts w:eastAsia="黑体"/>
          <w:b/>
          <w:bCs/>
          <w:kern w:val="0"/>
          <w:sz w:val="32"/>
          <w:szCs w:val="32"/>
        </w:rPr>
        <w:t>201</w:t>
      </w:r>
      <w:r>
        <w:rPr>
          <w:rFonts w:hint="eastAsia" w:eastAsia="黑体"/>
          <w:b/>
          <w:bCs/>
          <w:kern w:val="0"/>
          <w:sz w:val="32"/>
          <w:szCs w:val="32"/>
        </w:rPr>
        <w:t>4</w:t>
      </w:r>
      <w:r>
        <w:rPr>
          <w:rFonts w:hAnsi="黑体" w:eastAsia="黑体"/>
          <w:b/>
          <w:bCs/>
          <w:kern w:val="0"/>
          <w:sz w:val="32"/>
          <w:szCs w:val="32"/>
        </w:rPr>
        <w:t>年第</w:t>
      </w:r>
      <w:r>
        <w:rPr>
          <w:rFonts w:hint="eastAsia" w:hAnsi="黑体" w:eastAsia="黑体"/>
          <w:b/>
          <w:bCs/>
          <w:kern w:val="0"/>
          <w:sz w:val="32"/>
          <w:szCs w:val="32"/>
        </w:rPr>
        <w:t>三</w:t>
      </w:r>
      <w:r>
        <w:rPr>
          <w:rFonts w:hAnsi="黑体" w:eastAsia="黑体"/>
          <w:b/>
          <w:bCs/>
          <w:kern w:val="0"/>
          <w:sz w:val="32"/>
          <w:szCs w:val="32"/>
        </w:rPr>
        <w:t>季度全国星级饭店经营情况统计表（按地区分）</w:t>
      </w:r>
    </w:p>
    <w:bookmarkEnd w:id="0"/>
    <w:tbl>
      <w:tblPr>
        <w:tblStyle w:val="2"/>
        <w:tblW w:w="160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759"/>
        <w:gridCol w:w="1381"/>
        <w:gridCol w:w="887"/>
        <w:gridCol w:w="967"/>
        <w:gridCol w:w="900"/>
        <w:gridCol w:w="746"/>
        <w:gridCol w:w="1195"/>
        <w:gridCol w:w="1115"/>
        <w:gridCol w:w="759"/>
        <w:gridCol w:w="882"/>
        <w:gridCol w:w="934"/>
        <w:gridCol w:w="902"/>
        <w:gridCol w:w="794"/>
        <w:gridCol w:w="935"/>
        <w:gridCol w:w="812"/>
        <w:gridCol w:w="857"/>
      </w:tblGrid>
      <w:tr>
        <w:trPr>
          <w:trHeight w:val="629" w:hRule="atLeast"/>
          <w:jc w:val="center"/>
        </w:trPr>
        <w:tc>
          <w:tcPr>
            <w:tcW w:w="1219" w:type="dxa"/>
            <w:vMerge w:val="restart"/>
            <w:tcBorders>
              <w:top w:val="single" w:color="auto" w:sz="18" w:space="0"/>
              <w:left w:val="nil"/>
              <w:bottom w:val="single" w:color="auto" w:sz="12" w:space="0"/>
              <w:right w:val="single" w:color="auto" w:sz="18" w:space="0"/>
              <w:tl2br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 xml:space="preserve">    指 标</w:t>
            </w:r>
          </w:p>
          <w:p>
            <w:pP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地 区</w:t>
            </w:r>
          </w:p>
        </w:tc>
        <w:tc>
          <w:tcPr>
            <w:tcW w:w="759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000000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kern w:val="0"/>
                <w:sz w:val="18"/>
                <w:szCs w:val="18"/>
              </w:rPr>
              <w:t>数量（家）</w:t>
            </w:r>
          </w:p>
        </w:tc>
        <w:tc>
          <w:tcPr>
            <w:tcW w:w="1381" w:type="dxa"/>
            <w:vMerge w:val="restart"/>
            <w:tcBorders>
              <w:top w:val="single" w:color="auto" w:sz="18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kern w:val="0"/>
                <w:sz w:val="18"/>
                <w:szCs w:val="18"/>
              </w:rPr>
              <w:t>营业收入</w:t>
            </w:r>
          </w:p>
          <w:p>
            <w:pPr>
              <w:widowControl/>
              <w:spacing w:line="260" w:lineRule="exact"/>
              <w:jc w:val="center"/>
              <w:rPr>
                <w:rFonts w:eastAsia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kern w:val="0"/>
                <w:sz w:val="18"/>
                <w:szCs w:val="18"/>
              </w:rPr>
              <w:t>（亿元）</w:t>
            </w:r>
          </w:p>
        </w:tc>
        <w:tc>
          <w:tcPr>
            <w:tcW w:w="887" w:type="dxa"/>
            <w:vMerge w:val="restart"/>
            <w:tcBorders>
              <w:top w:val="single" w:color="auto" w:sz="18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餐饮收入</w:t>
            </w:r>
          </w:p>
          <w:p>
            <w:pPr>
              <w:widowControl/>
              <w:spacing w:line="260" w:lineRule="exact"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比重（</w:t>
            </w:r>
            <w:r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  <w:t>%</w:t>
            </w: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967" w:type="dxa"/>
            <w:vMerge w:val="restart"/>
            <w:tcBorders>
              <w:top w:val="single" w:color="auto" w:sz="18" w:space="0"/>
              <w:left w:val="single" w:color="auto" w:sz="8" w:space="0"/>
              <w:bottom w:val="single" w:color="000000" w:sz="12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客房收入比重（</w:t>
            </w:r>
            <w:r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  <w:t>%</w:t>
            </w: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900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000000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平均房价</w:t>
            </w:r>
            <w:r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  <w:t xml:space="preserve"> (</w:t>
            </w: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元</w:t>
            </w:r>
            <w:r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  <w:t>/</w:t>
            </w: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间夜</w:t>
            </w:r>
            <w:r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  <w:t>)</w:t>
            </w:r>
          </w:p>
        </w:tc>
        <w:tc>
          <w:tcPr>
            <w:tcW w:w="746" w:type="dxa"/>
            <w:vMerge w:val="restart"/>
            <w:tcBorders>
              <w:top w:val="single" w:color="auto" w:sz="18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平均出租率（</w:t>
            </w:r>
            <w:r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  <w:t>%</w:t>
            </w: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1195" w:type="dxa"/>
            <w:vMerge w:val="restart"/>
            <w:tcBorders>
              <w:top w:val="single" w:color="auto" w:sz="18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每间可供出租客房收入（元</w:t>
            </w:r>
            <w:r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  <w:t>/</w:t>
            </w: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间夜）</w:t>
            </w:r>
          </w:p>
        </w:tc>
        <w:tc>
          <w:tcPr>
            <w:tcW w:w="1115" w:type="dxa"/>
            <w:vMerge w:val="restart"/>
            <w:tcBorders>
              <w:top w:val="single" w:color="auto" w:sz="18" w:space="0"/>
              <w:left w:val="single" w:color="auto" w:sz="8" w:space="0"/>
              <w:bottom w:val="single" w:color="000000" w:sz="12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每间客房平摊营业收入（</w:t>
            </w:r>
            <w:r>
              <w:rPr>
                <w:rFonts w:hAnsi="黑体" w:eastAsia="黑体"/>
                <w:b/>
                <w:bCs/>
                <w:sz w:val="18"/>
                <w:szCs w:val="18"/>
              </w:rPr>
              <w:t>元</w:t>
            </w:r>
            <w:r>
              <w:rPr>
                <w:rFonts w:eastAsia="黑体"/>
                <w:b/>
                <w:bCs/>
                <w:sz w:val="18"/>
                <w:szCs w:val="18"/>
              </w:rPr>
              <w:t>/</w:t>
            </w:r>
            <w:r>
              <w:rPr>
                <w:rFonts w:hAnsi="黑体" w:eastAsia="黑体"/>
                <w:b/>
                <w:bCs/>
                <w:sz w:val="18"/>
                <w:szCs w:val="18"/>
              </w:rPr>
              <w:t>间</w:t>
            </w: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1641" w:type="dxa"/>
            <w:gridSpan w:val="2"/>
            <w:tcBorders>
              <w:top w:val="single" w:color="auto" w:sz="18" w:space="0"/>
              <w:left w:val="single" w:color="auto" w:sz="1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平均房价比较</w:t>
            </w:r>
          </w:p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（</w:t>
            </w:r>
            <w:r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  <w:t>%</w:t>
            </w: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1836" w:type="dxa"/>
            <w:gridSpan w:val="2"/>
            <w:tcBorders>
              <w:top w:val="single" w:color="auto" w:sz="18" w:space="0"/>
              <w:left w:val="single" w:color="auto" w:sz="12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平均出租率比较</w:t>
            </w:r>
          </w:p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（</w:t>
            </w:r>
            <w:r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  <w:t>%</w:t>
            </w: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1729" w:type="dxa"/>
            <w:gridSpan w:val="2"/>
            <w:tcBorders>
              <w:top w:val="single" w:color="auto" w:sz="18" w:space="0"/>
              <w:left w:val="single" w:color="auto" w:sz="12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每间可供出租客房</w:t>
            </w:r>
          </w:p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收入比较（</w:t>
            </w:r>
            <w:r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  <w:t>%</w:t>
            </w: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1669" w:type="dxa"/>
            <w:gridSpan w:val="2"/>
            <w:tcBorders>
              <w:top w:val="single" w:color="auto" w:sz="18" w:space="0"/>
              <w:left w:val="single" w:color="auto" w:sz="12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每间客房平摊营业收入比较（</w:t>
            </w:r>
            <w:r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  <w:t>%</w:t>
            </w: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19" w:type="dxa"/>
            <w:vMerge w:val="continue"/>
            <w:tcBorders>
              <w:left w:val="nil"/>
              <w:bottom w:val="single" w:color="auto" w:sz="18" w:space="0"/>
              <w:right w:val="single" w:color="auto" w:sz="18" w:space="0"/>
              <w:tl2br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环比</w:t>
            </w:r>
          </w:p>
        </w:tc>
        <w:tc>
          <w:tcPr>
            <w:tcW w:w="882" w:type="dxa"/>
            <w:tcBorders>
              <w:top w:val="nil"/>
              <w:left w:val="single" w:color="auto" w:sz="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同比</w:t>
            </w:r>
          </w:p>
        </w:tc>
        <w:tc>
          <w:tcPr>
            <w:tcW w:w="934" w:type="dxa"/>
            <w:tcBorders>
              <w:top w:val="nil"/>
              <w:left w:val="single" w:color="auto" w:sz="12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环比</w:t>
            </w:r>
          </w:p>
        </w:tc>
        <w:tc>
          <w:tcPr>
            <w:tcW w:w="902" w:type="dxa"/>
            <w:tcBorders>
              <w:top w:val="nil"/>
              <w:left w:val="single" w:color="auto" w:sz="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同比</w:t>
            </w:r>
          </w:p>
        </w:tc>
        <w:tc>
          <w:tcPr>
            <w:tcW w:w="794" w:type="dxa"/>
            <w:tcBorders>
              <w:top w:val="nil"/>
              <w:left w:val="single" w:color="auto" w:sz="12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环比</w:t>
            </w:r>
          </w:p>
        </w:tc>
        <w:tc>
          <w:tcPr>
            <w:tcW w:w="935" w:type="dxa"/>
            <w:tcBorders>
              <w:top w:val="nil"/>
              <w:left w:val="single" w:color="auto" w:sz="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同比</w:t>
            </w:r>
          </w:p>
        </w:tc>
        <w:tc>
          <w:tcPr>
            <w:tcW w:w="812" w:type="dxa"/>
            <w:tcBorders>
              <w:top w:val="nil"/>
              <w:left w:val="single" w:color="auto" w:sz="12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环比</w:t>
            </w:r>
          </w:p>
        </w:tc>
        <w:tc>
          <w:tcPr>
            <w:tcW w:w="857" w:type="dxa"/>
            <w:tcBorders>
              <w:top w:val="nil"/>
              <w:left w:val="single" w:color="auto" w:sz="8" w:space="0"/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同比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9" w:type="dxa"/>
            <w:tcBorders>
              <w:top w:val="single" w:color="auto" w:sz="18" w:space="0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全  国</w:t>
            </w:r>
          </w:p>
        </w:tc>
        <w:tc>
          <w:tcPr>
            <w:tcW w:w="759" w:type="dxa"/>
            <w:tcBorders>
              <w:top w:val="single" w:color="auto" w:sz="18" w:space="0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11727</w:t>
            </w:r>
          </w:p>
        </w:tc>
        <w:tc>
          <w:tcPr>
            <w:tcW w:w="1381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ind w:firstLine="310" w:firstLineChars="147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 xml:space="preserve">548.16 </w:t>
            </w:r>
          </w:p>
        </w:tc>
        <w:tc>
          <w:tcPr>
            <w:tcW w:w="887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ind w:firstLine="103" w:firstLineChars="49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40.43</w:t>
            </w:r>
          </w:p>
        </w:tc>
        <w:tc>
          <w:tcPr>
            <w:tcW w:w="967" w:type="dxa"/>
            <w:tcBorders>
              <w:top w:val="single" w:color="auto" w:sz="18" w:space="0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ind w:firstLine="103" w:firstLineChars="49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47.00</w:t>
            </w:r>
          </w:p>
        </w:tc>
        <w:tc>
          <w:tcPr>
            <w:tcW w:w="900" w:type="dxa"/>
            <w:tcBorders>
              <w:top w:val="single" w:color="auto" w:sz="18" w:space="0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324.40</w:t>
            </w:r>
          </w:p>
        </w:tc>
        <w:tc>
          <w:tcPr>
            <w:tcW w:w="746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58.31</w:t>
            </w:r>
          </w:p>
        </w:tc>
        <w:tc>
          <w:tcPr>
            <w:tcW w:w="1195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ind w:firstLine="207" w:firstLineChars="98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189.16</w:t>
            </w:r>
          </w:p>
        </w:tc>
        <w:tc>
          <w:tcPr>
            <w:tcW w:w="1115" w:type="dxa"/>
            <w:tcBorders>
              <w:top w:val="single" w:color="auto" w:sz="18" w:space="0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34407.29</w:t>
            </w:r>
          </w:p>
        </w:tc>
        <w:tc>
          <w:tcPr>
            <w:tcW w:w="759" w:type="dxa"/>
            <w:tcBorders>
              <w:top w:val="single" w:color="auto" w:sz="18" w:space="0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 xml:space="preserve">-0.43 </w:t>
            </w:r>
          </w:p>
        </w:tc>
        <w:tc>
          <w:tcPr>
            <w:tcW w:w="882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 xml:space="preserve">-3.29 </w:t>
            </w:r>
          </w:p>
        </w:tc>
        <w:tc>
          <w:tcPr>
            <w:tcW w:w="934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ind w:firstLine="101" w:firstLineChars="48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 xml:space="preserve">7.28 </w:t>
            </w:r>
          </w:p>
        </w:tc>
        <w:tc>
          <w:tcPr>
            <w:tcW w:w="902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ind w:firstLine="103" w:firstLineChars="49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 xml:space="preserve">-1.81 </w:t>
            </w:r>
          </w:p>
        </w:tc>
        <w:tc>
          <w:tcPr>
            <w:tcW w:w="794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ind w:firstLine="103" w:firstLineChars="49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 xml:space="preserve">6.82 </w:t>
            </w:r>
          </w:p>
        </w:tc>
        <w:tc>
          <w:tcPr>
            <w:tcW w:w="935" w:type="dxa"/>
            <w:tcBorders>
              <w:top w:val="single" w:color="auto" w:sz="18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firstLine="103" w:firstLineChars="49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 xml:space="preserve">-5.04 </w:t>
            </w:r>
          </w:p>
        </w:tc>
        <w:tc>
          <w:tcPr>
            <w:tcW w:w="812" w:type="dxa"/>
            <w:tcBorders>
              <w:top w:val="single" w:color="auto" w:sz="18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firstLine="103" w:firstLineChars="49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 xml:space="preserve">7.25 </w:t>
            </w:r>
          </w:p>
        </w:tc>
        <w:tc>
          <w:tcPr>
            <w:tcW w:w="857" w:type="dxa"/>
            <w:tcBorders>
              <w:top w:val="single" w:color="auto" w:sz="18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firstLine="103" w:firstLineChars="49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 xml:space="preserve">-7.67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北京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586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68.01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30.41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49.13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491.40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64.15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315.22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57203.40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-5.05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-2.46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9.27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-0.88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3.75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-3.31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2.87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-0.98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安徽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379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12.81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49.16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43.62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260.88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53.48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139.53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27598.67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-2.51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1.02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1.82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-1.39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-0.74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-0.39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-0.76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-4.02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福建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396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23.40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43.25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45.74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339.26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61.13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207.38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39627.79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2.38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-2.58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7.94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0.70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10.51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-1.90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11.90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-5.79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甘肃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318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7.03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36.34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52.86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228.80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56.99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130.40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20197.26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9.23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-14.92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25.95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0.86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37.58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-14.62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36.08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-10.34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广东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917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55.12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42.94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45.35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382.85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53.43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204.55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35652.70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2.12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-0.87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-2.08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0.21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-0.01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-0.65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26.94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6.25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广西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410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11.00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37.66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49.88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200.95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60.07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120.71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20648.67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5.80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3.30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11.46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-1.22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17.92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2.04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24.72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-8.36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贵州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303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6.06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32.59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58.50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232.55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64.31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149.56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22505.64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-9.01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-13.61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11.68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-5.72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1.62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-18.55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11.12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-3.06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海南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7.92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31.46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60.61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418.60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49.33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206.50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27534.81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-1.97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7.10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3.52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1.47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7.10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-9.83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河北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421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15.48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46.81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42.06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273.35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49.76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136.01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26324.76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5.10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-3.14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17.68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-4.16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23.68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-7.18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17.36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-16.04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河南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337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9.06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49.02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43.99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219.33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53.57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117.49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22248.60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1.16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7.78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-0.42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-8.54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0.74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-1.42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4.23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0.83 </w:t>
            </w:r>
          </w:p>
        </w:tc>
      </w:tr>
      <w:tr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黑龙江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5.33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38.53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51.39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281.91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51.60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145.48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25722.72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4.00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-8.13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16.45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-3.91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21.11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-11.72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19.34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-13.91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湖北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425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12.23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40.90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49.73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255.13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57.91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147.75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25479.49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-2.18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-1.33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1.43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-2.35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-0.78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-3.65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4.47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-14.43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湖南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490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16.60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42.00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49.04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235.43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68.31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160.81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28517.78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-2.72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-7.68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1.10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-6.98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-1.65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-14.12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1.78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-35.80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吉林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182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5.23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46.46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45.43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266.58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51.49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137.26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27257.15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12.75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-12.18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20.79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-9.45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36.20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-20.47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32.23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-25.02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江苏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721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41.58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53.52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37.46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309.95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59.03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182.97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44260.43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-1.42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0.09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FFFF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-0.43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FFFF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1.66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-1.84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1.76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-3.80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4.23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江西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335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8.56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37.39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54.66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219.81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57.57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126.54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19924.87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-1.66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-3.46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5.25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-0.55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3.51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-3.99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2.85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-14.23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辽宁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415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19.54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41.20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47.40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320.94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60.07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192.78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34227.96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11.05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-2.60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19.16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-6.14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32.33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-8.59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23.21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-11.50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内蒙古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279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8.47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47.67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45.55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271.65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55.13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149.75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29299.64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23.36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-8.72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29.61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-6.05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59.90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-14.25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44.70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-8.37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宁夏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2.10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47.31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46.56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244.87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55.83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136.70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23759.97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6.91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-14.91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21.47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-8.55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29.85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-22.19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26.14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-22.53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青海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144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3.08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27.84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67.95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325.94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55.79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181.84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24367.87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34.59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-14.72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41.06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-12.00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89.86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-24.95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57.96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-29.62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山东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769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36.00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47.16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43.97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299.37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63.96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191.49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38019.92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9.24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-4.37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12.39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-1.72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22.77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-6.01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11.95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-9.58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山西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268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8.92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45.65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43.28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257.10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53.31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137.07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27219.53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4.86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-8.45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5.20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-7.23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10.30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-15.06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13.44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-16.10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陕西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342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12.33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44.10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47.25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245.07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59.19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145.06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27392.30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-5.27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-0.81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7.55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-3.75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1.88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-4.52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5.86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-7.75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上海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243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46.38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30.51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47.08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622.78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64.90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404.17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78572.25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-5.47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3.83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-1.79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6.70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-7.16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10.78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-5.79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12.52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四川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464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20.98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34.58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51.78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334.97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61.30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205.32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33930.26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1.35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1.52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15.14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3.94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16.69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5.51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6.94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2.39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天津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6.65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36.41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48.41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392.35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50.62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198.61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35390.94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-4.72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5.03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1.37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-4.46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-3.41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0.34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3.81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-10.56 </w:t>
            </w:r>
          </w:p>
        </w:tc>
      </w:tr>
      <w:tr>
        <w:trPr>
          <w:trHeight w:val="397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西藏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125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3.54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14.97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77.15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364.47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74.42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271.26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26414.30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24.48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24.23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44.30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2.32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79.62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27.12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53.50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9.42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新疆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295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7.89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43.21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46.76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239.14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49.59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118.59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21521.04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10.15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-9.73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9.20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-13.38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20.28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-21.81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14.27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-17.04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云南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534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9.12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26.98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61.29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220.11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54.73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120.47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13561.85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-1.14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-5.29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12.65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-13.31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11.36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-17.90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-4.09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-31.72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浙江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833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46.20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45.77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43.02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337.91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56.83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192.04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40244.66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-2.64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-0.28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0.96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3.12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-1.71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2.83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-4.55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-2.71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重庆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243</w:t>
            </w:r>
          </w:p>
        </w:tc>
        <w:tc>
          <w:tcPr>
            <w:tcW w:w="1381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10.54 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37.14</w:t>
            </w:r>
          </w:p>
        </w:tc>
        <w:tc>
          <w:tcPr>
            <w:tcW w:w="967" w:type="dxa"/>
            <w:tcBorders>
              <w:top w:val="nil"/>
              <w:left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49.33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315.06</w:t>
            </w:r>
          </w:p>
        </w:tc>
        <w:tc>
          <w:tcPr>
            <w:tcW w:w="746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60.45</w:t>
            </w:r>
          </w:p>
        </w:tc>
        <w:tc>
          <w:tcPr>
            <w:tcW w:w="1195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190.47</w:t>
            </w:r>
          </w:p>
        </w:tc>
        <w:tc>
          <w:tcPr>
            <w:tcW w:w="1115" w:type="dxa"/>
            <w:tcBorders>
              <w:top w:val="nil"/>
              <w:left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33736.35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-1.46 </w:t>
            </w:r>
          </w:p>
        </w:tc>
        <w:tc>
          <w:tcPr>
            <w:tcW w:w="882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-0.12 </w:t>
            </w:r>
          </w:p>
        </w:tc>
        <w:tc>
          <w:tcPr>
            <w:tcW w:w="934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5.13 </w:t>
            </w:r>
          </w:p>
        </w:tc>
        <w:tc>
          <w:tcPr>
            <w:tcW w:w="902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6.62 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3.59 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6.49 </w:t>
            </w: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4.96 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4.02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新  疆</w:t>
            </w:r>
          </w:p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兵  团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1381" w:type="dxa"/>
            <w:tcBorders>
              <w:top w:val="nil"/>
              <w:bottom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0.98 </w:t>
            </w:r>
          </w:p>
        </w:tc>
        <w:tc>
          <w:tcPr>
            <w:tcW w:w="887" w:type="dxa"/>
            <w:tcBorders>
              <w:top w:val="nil"/>
              <w:bottom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37.82</w:t>
            </w:r>
          </w:p>
        </w:tc>
        <w:tc>
          <w:tcPr>
            <w:tcW w:w="967" w:type="dxa"/>
            <w:tcBorders>
              <w:top w:val="nil"/>
              <w:bottom w:val="single" w:color="auto" w:sz="18" w:space="0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57.59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219.87</w:t>
            </w:r>
          </w:p>
        </w:tc>
        <w:tc>
          <w:tcPr>
            <w:tcW w:w="746" w:type="dxa"/>
            <w:tcBorders>
              <w:top w:val="nil"/>
              <w:bottom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59.16</w:t>
            </w:r>
          </w:p>
        </w:tc>
        <w:tc>
          <w:tcPr>
            <w:tcW w:w="1195" w:type="dxa"/>
            <w:tcBorders>
              <w:top w:val="nil"/>
              <w:bottom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130.08</w:t>
            </w:r>
          </w:p>
        </w:tc>
        <w:tc>
          <w:tcPr>
            <w:tcW w:w="1115" w:type="dxa"/>
            <w:tcBorders>
              <w:top w:val="nil"/>
              <w:bottom w:val="single" w:color="auto" w:sz="18" w:space="0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20120.58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4.32 </w:t>
            </w:r>
          </w:p>
        </w:tc>
        <w:tc>
          <w:tcPr>
            <w:tcW w:w="882" w:type="dxa"/>
            <w:tcBorders>
              <w:top w:val="nil"/>
              <w:bottom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-20.92 </w:t>
            </w:r>
          </w:p>
        </w:tc>
        <w:tc>
          <w:tcPr>
            <w:tcW w:w="934" w:type="dxa"/>
            <w:tcBorders>
              <w:top w:val="nil"/>
              <w:bottom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13.98 </w:t>
            </w:r>
          </w:p>
        </w:tc>
        <w:tc>
          <w:tcPr>
            <w:tcW w:w="902" w:type="dxa"/>
            <w:tcBorders>
              <w:top w:val="nil"/>
              <w:bottom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-4.77 </w:t>
            </w:r>
          </w:p>
        </w:tc>
        <w:tc>
          <w:tcPr>
            <w:tcW w:w="794" w:type="dxa"/>
            <w:tcBorders>
              <w:top w:val="nil"/>
              <w:bottom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18.91 </w:t>
            </w:r>
          </w:p>
        </w:tc>
        <w:tc>
          <w:tcPr>
            <w:tcW w:w="935" w:type="dxa"/>
            <w:tcBorders>
              <w:top w:val="nil"/>
              <w:bottom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-24.69 </w:t>
            </w:r>
          </w:p>
        </w:tc>
        <w:tc>
          <w:tcPr>
            <w:tcW w:w="812" w:type="dxa"/>
            <w:tcBorders>
              <w:top w:val="nil"/>
              <w:bottom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16.53 </w:t>
            </w:r>
          </w:p>
        </w:tc>
        <w:tc>
          <w:tcPr>
            <w:tcW w:w="857" w:type="dxa"/>
            <w:tcBorders>
              <w:top w:val="nil"/>
              <w:bottom w:val="single" w:color="auto" w:sz="1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-24.90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F7522"/>
    <w:rsid w:val="16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2019-11-07T07:41:00Z</dcterms:created>
  <dc:creator>芦苇薇薇</dc:creator>
  <cp:lastModifiedBy>芦苇薇薇</cp:lastModifiedBy>
  <dcterms:modified xsi:type="dcterms:W3CDTF">2019-11-07T07:42:01Z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