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eastAsia="仿宋_GB2312"/>
          <w:b/>
          <w:bCs/>
          <w:sz w:val="28"/>
        </w:rPr>
      </w:pPr>
      <w:r>
        <w:rPr>
          <w:rFonts w:hint="eastAsia" w:ascii="仿宋_GB2312" w:eastAsia="仿宋_GB2312"/>
          <w:b/>
          <w:bCs/>
          <w:sz w:val="28"/>
        </w:rPr>
        <w:t>附件</w:t>
      </w:r>
      <w:r>
        <w:rPr>
          <w:rFonts w:eastAsia="仿宋_GB2312"/>
          <w:b/>
          <w:bCs/>
          <w:sz w:val="28"/>
        </w:rPr>
        <w:t>4：</w:t>
      </w:r>
    </w:p>
    <w:tbl>
      <w:tblPr>
        <w:tblStyle w:val="2"/>
        <w:tblW w:w="15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743"/>
        <w:gridCol w:w="1166"/>
        <w:gridCol w:w="1109"/>
        <w:gridCol w:w="717"/>
        <w:gridCol w:w="1147"/>
        <w:gridCol w:w="1109"/>
        <w:gridCol w:w="734"/>
        <w:gridCol w:w="1109"/>
        <w:gridCol w:w="1109"/>
        <w:gridCol w:w="755"/>
        <w:gridCol w:w="1109"/>
        <w:gridCol w:w="1109"/>
        <w:gridCol w:w="661"/>
        <w:gridCol w:w="1128"/>
        <w:gridCol w:w="1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5815" w:type="dxa"/>
            <w:gridSpan w:val="16"/>
            <w:noWrap w:val="0"/>
            <w:vAlign w:val="center"/>
          </w:tcPr>
          <w:p>
            <w:pPr>
              <w:widowControl/>
              <w:autoSpaceDN w:val="0"/>
              <w:spacing w:before="156" w:beforeLines="50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bookmarkStart w:id="1" w:name="_GoBack"/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2014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年第</w:t>
            </w:r>
            <w:r>
              <w:rPr>
                <w:rFonts w:hint="eastAsia" w:hAnsi="黑体" w:eastAsia="黑体"/>
                <w:b/>
                <w:bCs/>
                <w:kern w:val="0"/>
                <w:sz w:val="32"/>
                <w:szCs w:val="32"/>
              </w:rPr>
              <w:t>四</w:t>
            </w:r>
            <w:r>
              <w:rPr>
                <w:rFonts w:hAnsi="黑体" w:eastAsia="黑体"/>
                <w:b/>
                <w:bCs/>
                <w:kern w:val="0"/>
                <w:sz w:val="32"/>
                <w:szCs w:val="32"/>
              </w:rPr>
              <w:t>季度全国星级饭店经营情况平均指标统计表（按地区星级分）</w:t>
            </w:r>
          </w:p>
          <w:bookmarkEnd w:id="1"/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01" w:type="dxa"/>
            <w:vMerge w:val="restart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ind w:left="315" w:leftChars="150" w:firstLine="57" w:firstLineChars="27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-17145</wp:posOffset>
                      </wp:positionV>
                      <wp:extent cx="650875" cy="367030"/>
                      <wp:effectExtent l="4445" t="8255" r="11430" b="247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650875" cy="36703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6.45pt;margin-top:-1.35pt;height:28.9pt;width:51.25pt;z-index:251658240;mso-width-relative:page;mso-height-relative:page;" filled="f" stroked="t" coordsize="21600,21600" o:gfxdata="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5+&#10;IXzYAAAACAEAAA8AAAAAAAAAAQAgAAAAIgAAAGRycy9kb3ducmV2LnhtbFBLAQIUABQAAAAIAIdO&#10;4kCsMJuW6gEAAK8DAAAOAAAAAAAAAAEAIAAAACcBAABkcnMvZTJvRG9jLnhtbFBLBQYAAAAABgAG&#10;AFkBAACDBQAAAAA=&#10;">
                      <v:path arrowok="t"/>
                      <v:fill on="f" focussize="0,0"/>
                      <v:stroke weight="1.5pt" color="#000001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 xml:space="preserve">星级        </w:t>
            </w:r>
          </w:p>
          <w:p>
            <w:pPr>
              <w:widowControl/>
              <w:autoSpaceDN w:val="0"/>
              <w:ind w:firstLine="279" w:firstLineChars="147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指</w:t>
            </w:r>
          </w:p>
          <w:p>
            <w:pPr>
              <w:widowControl/>
              <w:autoSpaceDN w:val="0"/>
              <w:ind w:firstLine="560" w:firstLineChars="295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标</w:t>
            </w:r>
          </w:p>
          <w:p>
            <w:pPr>
              <w:widowControl/>
              <w:autoSpaceDN w:val="0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地区</w:t>
            </w:r>
          </w:p>
        </w:tc>
        <w:tc>
          <w:tcPr>
            <w:tcW w:w="3018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一星</w:t>
            </w:r>
          </w:p>
        </w:tc>
        <w:tc>
          <w:tcPr>
            <w:tcW w:w="2973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二星</w:t>
            </w:r>
          </w:p>
        </w:tc>
        <w:tc>
          <w:tcPr>
            <w:tcW w:w="2952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三星</w:t>
            </w:r>
          </w:p>
        </w:tc>
        <w:tc>
          <w:tcPr>
            <w:tcW w:w="2973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四星</w:t>
            </w:r>
          </w:p>
        </w:tc>
        <w:tc>
          <w:tcPr>
            <w:tcW w:w="2898" w:type="dxa"/>
            <w:gridSpan w:val="3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五星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001" w:type="dxa"/>
            <w:vMerge w:val="continue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</w:p>
        </w:tc>
        <w:tc>
          <w:tcPr>
            <w:tcW w:w="743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ascii="黑体" w:hAnsi="黑体" w:eastAsia="黑体" w:cs="宋体"/>
                <w:b/>
                <w:bCs/>
                <w:w w:val="9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66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17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47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34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755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 w:val="2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  <w:tc>
          <w:tcPr>
            <w:tcW w:w="661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饭店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数量</w:t>
            </w:r>
          </w:p>
        </w:tc>
        <w:tc>
          <w:tcPr>
            <w:tcW w:w="1128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平均房价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(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元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/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间夜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)</w:t>
            </w:r>
          </w:p>
        </w:tc>
        <w:tc>
          <w:tcPr>
            <w:tcW w:w="1109" w:type="dxa"/>
            <w:shd w:val="clear" w:color="auto" w:fill="D9D9D9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平均出租</w:t>
            </w:r>
          </w:p>
          <w:p>
            <w:pPr>
              <w:widowControl/>
              <w:autoSpaceDN w:val="0"/>
              <w:jc w:val="center"/>
              <w:rPr>
                <w:rFonts w:eastAsia="黑体"/>
                <w:b/>
                <w:bCs/>
                <w:w w:val="90"/>
                <w:kern w:val="0"/>
                <w:szCs w:val="21"/>
              </w:rPr>
            </w:pP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率（</w:t>
            </w:r>
            <w:r>
              <w:rPr>
                <w:rFonts w:eastAsia="黑体"/>
                <w:b/>
                <w:bCs/>
                <w:w w:val="90"/>
                <w:kern w:val="0"/>
                <w:szCs w:val="21"/>
              </w:rPr>
              <w:t>%</w:t>
            </w:r>
            <w:r>
              <w:rPr>
                <w:rFonts w:hAnsi="黑体" w:eastAsia="黑体"/>
                <w:b/>
                <w:bCs/>
                <w:w w:val="9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001" w:type="dxa"/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全  国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118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128.68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49.14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2683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164.35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53.14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5585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225.64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54.78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2431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346.13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57.75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783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659.36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 xml:space="preserve">57.90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bookmarkStart w:id="0" w:name="OLE_LINK1" w:colFirst="1" w:colLast="15"/>
            <w:r>
              <w:rPr>
                <w:rFonts w:eastAsia="仿宋"/>
              </w:rPr>
              <w:t>北京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306.69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39.32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181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283.93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52.84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207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377.55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54.91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128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497.29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60.03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829.29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63.75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安徽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70.04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61.11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136.99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50.99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171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187.23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53.72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102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296.68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53.86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415.96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50.02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福建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130.20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51.28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178.40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60.18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223.60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57.06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325.65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56.59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558.18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62.00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甘肃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121.93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57.00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148.63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46.15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204.72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46.91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338.28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43.35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451.60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39.53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广东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97.32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33.24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212.64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61.24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331.97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57.67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380.89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61.42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112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649.89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58.42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102.77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60.87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107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121.68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56.76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152.88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56.31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255.60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59.15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463.90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贵州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107.04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48.25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156.38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57.55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195.14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53.71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314.34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58.97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539.63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63.38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海南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66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71.81 </w:t>
            </w:r>
          </w:p>
        </w:tc>
        <w:tc>
          <w:tcPr>
            <w:tcW w:w="11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42.85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14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105.75 </w:t>
            </w:r>
          </w:p>
        </w:tc>
        <w:tc>
          <w:tcPr>
            <w:tcW w:w="11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48.11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</w:t>
            </w:r>
          </w:p>
        </w:tc>
        <w:tc>
          <w:tcPr>
            <w:tcW w:w="1109" w:type="dxa"/>
            <w:shd w:val="clear" w:color="FFFF00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133.63 </w:t>
            </w:r>
          </w:p>
        </w:tc>
        <w:tc>
          <w:tcPr>
            <w:tcW w:w="1109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60.99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1109" w:type="dxa"/>
            <w:shd w:val="clear" w:color="FFFF00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251.76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62.04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1095.82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河北</w:t>
            </w:r>
          </w:p>
        </w:tc>
        <w:tc>
          <w:tcPr>
            <w:tcW w:w="743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6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80.36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53.35 </w:t>
            </w:r>
          </w:p>
        </w:tc>
        <w:tc>
          <w:tcPr>
            <w:tcW w:w="717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1147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169.29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46.17 </w:t>
            </w:r>
          </w:p>
        </w:tc>
        <w:tc>
          <w:tcPr>
            <w:tcW w:w="734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188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201.69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46.73 </w:t>
            </w:r>
          </w:p>
        </w:tc>
        <w:tc>
          <w:tcPr>
            <w:tcW w:w="755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128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295.13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44.99 </w:t>
            </w:r>
          </w:p>
        </w:tc>
        <w:tc>
          <w:tcPr>
            <w:tcW w:w="661" w:type="dxa"/>
            <w:shd w:val="clear" w:color="auto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128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447.66 </w:t>
            </w:r>
          </w:p>
        </w:tc>
        <w:tc>
          <w:tcPr>
            <w:tcW w:w="1109" w:type="dxa"/>
            <w:shd w:val="solid" w:color="FFFFFF" w:fill="auto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47.08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61.58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30.25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114.65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54.03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166.11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54.87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315.33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48.60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486.89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黑龙江省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141.11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48.59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129.91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34.88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219.80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43.03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318.22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48.20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788.90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54.39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湖北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183.21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61.78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150.01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61.08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180.92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60.98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294.91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61.73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558.05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57.02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湖南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126.90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69.88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131.11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65.20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182.56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66.38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331.75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71.61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527.28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67.07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吉林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153.78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34.41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202.99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42.41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311.96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50.29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544.31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江苏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173.72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64.08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201.09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61.59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319.53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61.70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520.11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60.81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121.11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53.83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162.11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56.09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265.39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59.53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443.05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62.56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辽宁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167.40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58.77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147.26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48.96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201.78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47.40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325.66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48.11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498.23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47.19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内蒙古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106.62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26.28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127.68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42.65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191.50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41.06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288.60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52.09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457.85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42.24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宁夏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84.30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48.77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191.01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48.26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271.52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41.21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629.11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78.32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青海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164.91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20.74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136.07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30.29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219.08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35.47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301.97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38.71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683.20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30.71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山东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148.09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52.03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434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192.82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55.71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307.04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59.13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595.43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52.19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156.51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50.93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222.11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54.29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252.85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51.79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379.76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45.24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陕西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156.34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54.46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200.60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58.34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314.99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59.20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551.36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上海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140.18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30.21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241.76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70.62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327.03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61.84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511.03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72.78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59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999.38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66.50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四川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99.88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28.52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129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166.84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62.37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176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245.62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60.33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345.71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59.60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740.96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天津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190.20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47.63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277.62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48.29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382.13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54.11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571.51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49.93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西藏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51.12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56.62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223.69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41.96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172.18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40.99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318.05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36.30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1170.48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新疆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83.33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36.23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52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130.94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42.12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201.01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45.89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264.67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49.27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429.28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40.33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云南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86.32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55.56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237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102.37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47.98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192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165.90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49.37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269.01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55.92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476.02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浙江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127.52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45.61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225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185.44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50.47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343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251.00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55.54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177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390.57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60.12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557.78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重庆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37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150.29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56.21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210.12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56.72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358.20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67.52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567.64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60.78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001" w:type="dxa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sz w:val="15"/>
                <w:szCs w:val="15"/>
              </w:rPr>
            </w:pPr>
            <w:r>
              <w:rPr>
                <w:rFonts w:hint="eastAsia" w:eastAsia="仿宋"/>
                <w:sz w:val="18"/>
                <w:szCs w:val="18"/>
              </w:rPr>
              <w:t xml:space="preserve">  </w:t>
            </w:r>
            <w:r>
              <w:rPr>
                <w:rFonts w:eastAsia="仿宋"/>
                <w:sz w:val="15"/>
                <w:szCs w:val="15"/>
              </w:rPr>
              <w:t>新疆兵团</w:t>
            </w:r>
          </w:p>
        </w:tc>
        <w:tc>
          <w:tcPr>
            <w:tcW w:w="743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66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71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147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125.34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48.71 </w:t>
            </w:r>
          </w:p>
        </w:tc>
        <w:tc>
          <w:tcPr>
            <w:tcW w:w="734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286.38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50.80 </w:t>
            </w:r>
          </w:p>
        </w:tc>
        <w:tc>
          <w:tcPr>
            <w:tcW w:w="755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281.02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64.32 </w:t>
            </w:r>
          </w:p>
        </w:tc>
        <w:tc>
          <w:tcPr>
            <w:tcW w:w="661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28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  <w:tc>
          <w:tcPr>
            <w:tcW w:w="1109" w:type="dxa"/>
            <w:noWrap w:val="0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0.00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164BF"/>
    <w:rsid w:val="1541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2019-11-07T01:46:00Z</dcterms:created>
  <dc:creator>芦苇薇薇</dc:creator>
  <cp:lastModifiedBy>芦苇薇薇</cp:lastModifiedBy>
  <dcterms:modified xsi:type="dcterms:W3CDTF">2019-11-07T01:47:34Z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