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Calibri" w:eastAsia="方正小标宋简体" w:cs="黑体"/>
          <w:sz w:val="36"/>
          <w:szCs w:val="36"/>
        </w:rPr>
      </w:pPr>
      <w:r>
        <w:rPr>
          <w:rFonts w:hint="eastAsia" w:ascii="方正小标宋简体" w:hAnsi="Calibri" w:eastAsia="方正小标宋简体" w:cs="黑体"/>
          <w:sz w:val="36"/>
          <w:szCs w:val="36"/>
        </w:rPr>
        <w:t>《文化和旅游部关于加强旅游服务质量监管</w:t>
      </w:r>
    </w:p>
    <w:p>
      <w:pPr>
        <w:spacing w:line="520" w:lineRule="exact"/>
        <w:jc w:val="center"/>
        <w:rPr>
          <w:rFonts w:ascii="方正小标宋简体" w:hAnsi="Calibri" w:eastAsia="方正小标宋简体" w:cs="黑体"/>
          <w:sz w:val="36"/>
          <w:szCs w:val="36"/>
        </w:rPr>
      </w:pPr>
      <w:r>
        <w:rPr>
          <w:rFonts w:hint="eastAsia" w:ascii="方正小标宋简体" w:hAnsi="Calibri" w:eastAsia="方正小标宋简体" w:cs="黑体"/>
          <w:sz w:val="36"/>
          <w:szCs w:val="36"/>
        </w:rPr>
        <w:t>提升旅游服务质量的指导意见》</w:t>
      </w:r>
    </w:p>
    <w:p>
      <w:pPr>
        <w:spacing w:line="560" w:lineRule="exact"/>
        <w:jc w:val="center"/>
        <w:rPr>
          <w:rFonts w:hint="eastAsia" w:ascii="方正小标宋简体" w:hAnsi="Calibri" w:eastAsia="方正小标宋简体" w:cs="黑体"/>
          <w:sz w:val="36"/>
          <w:szCs w:val="36"/>
        </w:rPr>
      </w:pPr>
      <w:r>
        <w:rPr>
          <w:rFonts w:hint="eastAsia" w:ascii="方正小标宋简体" w:hAnsi="Calibri" w:eastAsia="方正小标宋简体" w:cs="黑体"/>
          <w:sz w:val="36"/>
          <w:szCs w:val="36"/>
        </w:rPr>
        <w:t>2023年工作要点</w:t>
      </w:r>
    </w:p>
    <w:tbl>
      <w:tblPr>
        <w:tblStyle w:val="4"/>
        <w:tblW w:w="126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976"/>
        <w:gridCol w:w="581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6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重点任务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具体举措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楷体" w:hAnsi="楷体" w:eastAsia="楷体" w:cs="黑体"/>
                <w:sz w:val="21"/>
                <w:szCs w:val="21"/>
              </w:rPr>
              <w:t>一、落实旅游服务质量主体责任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培育企业质量文化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大力弘扬企业家精神和工匠精神，提高管理人员和从业人员质量意识和质量素养。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文化和旅游部（资源开发司、市场管理司）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提升质量管理水平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鼓励旅游企业建立“首席质量官”“标杆服务员”制度。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促进企业服务创新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支持大数据、云计算、区块链、人工智能等在旅游服务中的应用。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增强旅游服务质量保障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旅行社规范经营内容和行为，防范系统性风险，加快理念、技术、产品、服务模式和业态创新。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发挥行业组织作用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鼓励和支持相关行业组织建立服务质量分会，加强质量文化宣传引导。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楷体" w:hAnsi="楷体" w:eastAsia="楷体" w:cs="黑体"/>
                <w:sz w:val="21"/>
                <w:szCs w:val="21"/>
              </w:rPr>
            </w:pPr>
            <w:r>
              <w:rPr>
                <w:rFonts w:hint="eastAsia" w:ascii="楷体" w:hAnsi="楷体" w:eastAsia="楷体" w:cs="黑体"/>
                <w:sz w:val="21"/>
                <w:szCs w:val="21"/>
              </w:rPr>
              <w:t>二、培育优质旅游服务品牌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培育壮大旅游服务品牌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树立一批优质旅游服务品牌，打造中国旅游服务品牌新形象。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完善旅游服务品牌建设制度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加大旅行社、旅游民宿等级评定和推广力度。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建立旅游服务品牌创建激励机制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探索设立旅游服务质量奖。培育建设一批旅游服务质量品牌示范单位和示范区。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加强旅游服务品牌宣传推广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建立旅游企事业单位优质服务案例库，向全行业推广旅游服务质量管理的成功经验和先进方法。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楷体" w:hAnsi="楷体" w:eastAsia="楷体" w:cs="黑体"/>
                <w:sz w:val="21"/>
                <w:szCs w:val="21"/>
              </w:rPr>
              <w:t>三、夯实旅游服务质量基础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推进旅游服务相关标准制修订工作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在国家标准、行业标准、地方标准的制修订中，进一步突出旅游服务质量方面要求。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文化和旅游部（科技教育司、资源开发司、市场管理司，旅游质量监督管理所）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加强标准宣传和实施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推进旅游标准化试点工作。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文化和旅游部（科技教育司）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开展质量监测评价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加强旅游服务质量评价指标、模型和方法研究，建立以游客为中心的旅游服务质量评价体系。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楷体" w:hAnsi="楷体" w:eastAsia="楷体" w:cs="黑体"/>
                <w:sz w:val="21"/>
                <w:szCs w:val="21"/>
              </w:rPr>
              <w:t>四、加强旅游人才队伍建设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加强导游队伍建设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"/>
              </w:rPr>
              <w:t>开展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导游队伍建设和管理行动。培养一专多能型导游人才。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举办旅游服务技能竞赛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办好全国导游大赛、全国红色故事讲解员大赛、饭店服务技能竞赛，开展红色旅游五好讲解员建设行动。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文化和旅游部（资源开发司、市场管理司）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完善教育培训体系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增强旅游职业技术技能教育适应性，深入推进产教融合、校企合作。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文化和旅游部（科技教育司、产业发展司、市场管理司）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大力培养旅游服务质量人才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实施更加开放的旅游人才引进政策，鼓励各地制定有利于旅游服务质量人才引进的政策措施。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文化和旅游部（人事司、产业发展司、市场管理司）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楷体" w:hAnsi="楷体" w:eastAsia="楷体" w:cs="黑体"/>
                <w:sz w:val="21"/>
                <w:szCs w:val="21"/>
              </w:rPr>
              <w:t>五、加快推进旅游信用体系建设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完善旅游市场信用监管制度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建立旅游市场信用监管工作综合协调机制。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推进信用分级分类监管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组织开展企业信用评价，实施分级分类监管。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严格失信名单管理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依法实施信用惩戒，进一步增强震慑力。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拓展信用应用场景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加强诚信文化建设，打造一批诚信企业。开展信用经济发展试点工作。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楷体" w:hAnsi="楷体" w:eastAsia="楷体" w:cs="黑体"/>
                <w:sz w:val="21"/>
                <w:szCs w:val="21"/>
              </w:rPr>
              <w:t>六、加强行业旅游服务质量监管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构建高效协调的旅游服务质量监管体系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开展不合理低价游综合治理行动。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文化和旅游部（办公厅、政策法规司、科技教育司、资源开发司、市场管理司、文化市场综合执法监督局）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加强综合执法工作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常态化开展暗访评估工作。开展跨部门联合执法，严厉打击“不合理低价游”、未经许可经营旅行社业务等违法违规行为。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文化和旅游部（文化市场综合执法监督局）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坚持包容审慎监管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鼓励支持旅游企业创新发展，加强对新技术、新模式、新业态发展规律研究，创新监管模式和方法。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创新质量监管方式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建立健全旅游服务质量暗访制度和旅游服务质量重大事故约谈制度。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ind w:left="425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加强游客权益保护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依法依规分类处置旅游市场举报投诉，推动提升旅游投诉调解成功率，及时回应游客诉求。增强游客权益保护的法律意识，发布旅游市场执法指导案例，加强“以案释法”。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文化和旅游部（文化市场综合执法监督局）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楷体" w:cs="仿宋_GB2312"/>
                <w:sz w:val="21"/>
                <w:szCs w:val="21"/>
              </w:rPr>
            </w:pPr>
            <w:r>
              <w:rPr>
                <w:rFonts w:hint="eastAsia" w:ascii="楷体" w:hAnsi="楷体" w:eastAsia="楷体" w:cs="黑体"/>
                <w:sz w:val="21"/>
                <w:szCs w:val="21"/>
              </w:rPr>
              <w:t>七、做好相关保障工作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加强组织领导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结合实际，创造性开展工作，加大先行先试工作力度。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加强宣传引导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加大宣传力度，举办形式多样的旅游服务质量主题活动。宣传提升旅游服务质量的丰富实践、主要成果和典型案例。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文化和旅游部（市场管理司）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各地文化和旅游行政部门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加强监督评估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left="315" w:hanging="315" w:hangingChars="150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研究制定激励政策，完善激励机制，对各地落实情况进行监督，开展第三方评估。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文化和旅游部（市场管理司）</w:t>
            </w:r>
          </w:p>
        </w:tc>
      </w:tr>
    </w:tbl>
    <w:p>
      <w:pPr>
        <w:ind w:firstLine="1278" w:firstLineChars="609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注：1.第21项任务责任单位依据《文化和旅游部办公厅关于印发不合理低价游综合治理三年行动方案（2021-2023年）的</w:t>
      </w:r>
    </w:p>
    <w:p>
      <w:pPr>
        <w:ind w:firstLine="1919" w:firstLineChars="914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通知》（办市场发</w:t>
      </w:r>
      <w:r>
        <w:rPr>
          <w:rFonts w:hint="eastAsia" w:ascii="等线" w:hAnsi="等线" w:eastAsia="等线" w:cs="黑体"/>
          <w:sz w:val="21"/>
          <w:szCs w:val="21"/>
        </w:rPr>
        <w:t>〔</w:t>
      </w:r>
      <w:r>
        <w:rPr>
          <w:rFonts w:hint="eastAsia" w:ascii="黑体" w:hAnsi="黑体" w:eastAsia="黑体" w:cs="黑体"/>
          <w:sz w:val="21"/>
          <w:szCs w:val="21"/>
        </w:rPr>
        <w:t>2021</w:t>
      </w:r>
      <w:r>
        <w:rPr>
          <w:rFonts w:hint="eastAsia" w:ascii="等线" w:hAnsi="等线" w:eastAsia="等线" w:cs="黑体"/>
          <w:sz w:val="21"/>
          <w:szCs w:val="21"/>
        </w:rPr>
        <w:t>〕</w:t>
      </w:r>
      <w:r>
        <w:rPr>
          <w:rFonts w:hint="eastAsia" w:ascii="黑体" w:hAnsi="黑体" w:eastAsia="黑体" w:cs="黑体"/>
          <w:sz w:val="21"/>
          <w:szCs w:val="21"/>
        </w:rPr>
        <w:t>67号）确定。</w:t>
      </w:r>
    </w:p>
    <w:p>
      <w:pPr>
        <w:ind w:firstLine="1698" w:firstLineChars="809"/>
      </w:pPr>
      <w:r>
        <w:rPr>
          <w:rFonts w:hint="eastAsia" w:ascii="黑体" w:hAnsi="黑体" w:eastAsia="黑体" w:cs="黑体"/>
          <w:sz w:val="21"/>
          <w:szCs w:val="21"/>
        </w:rPr>
        <w:t>2.《指导意见》2023年工作要点兼顾延续性和创新性，共设具体举措28项。其中，延续举措18项，新增举措10项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C6925"/>
    <w:multiLevelType w:val="singleLevel"/>
    <w:tmpl w:val="FFEC692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2966711"/>
    <w:multiLevelType w:val="singleLevel"/>
    <w:tmpl w:val="129667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0432A"/>
    <w:rsid w:val="3E00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Calibri" w:hAnsi="Calibri" w:eastAsia="宋体"/>
      <w:color w:val="auto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2023-06-05T07:49:00Z</dcterms:created>
  <dc:creator>MSW</dc:creator>
  <cp:lastModifiedBy>MSW</cp:lastModifiedBy>
  <dcterms:modified xsi:type="dcterms:W3CDTF">2023-06-05T07:50:59Z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