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6"/>
          <w:szCs w:val="36"/>
          <w:lang w:val="en" w:eastAsia="zh-CN"/>
        </w:rPr>
      </w:pPr>
      <w:r>
        <w:rPr>
          <w:rFonts w:hint="eastAsia" w:ascii="黑体" w:hAnsi="黑体" w:eastAsia="黑体" w:cs="黑体"/>
          <w:sz w:val="36"/>
          <w:szCs w:val="36"/>
          <w:lang w:val="en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jc w:val="both"/>
        <w:textAlignment w:val="auto"/>
        <w:rPr>
          <w:rFonts w:hint="eastAsia" w:ascii="Calibri" w:hAnsi="Calibri" w:eastAsia="宋体" w:cs="Times New Roman"/>
          <w:kern w:val="2"/>
          <w:sz w:val="30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/>
        </w:rPr>
        <w:t>文化和旅游部行政复议和应诉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/>
        </w:rPr>
        <w:t>办法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（征求意见稿）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" w:eastAsia="zh-CN"/>
        </w:rPr>
        <w:t>为规范文化和旅游部行政复议和行政应诉工作，保护公民、法人和其他组织的合法权益，监督和保障行政机关依法行使职权，推进法治政府建设，根据《中华人民共和国行政复议法》（以下简称《行政复议法》）及其实施条例、《中华人民共和国行政诉讼法》等法律、行政法规，</w:t>
      </w:r>
      <w:r>
        <w:rPr>
          <w:rFonts w:hint="default" w:ascii="仿宋_GB2312" w:hAnsi="仿宋_GB2312" w:eastAsia="仿宋_GB2312" w:cs="仿宋_GB2312"/>
          <w:sz w:val="36"/>
          <w:szCs w:val="36"/>
          <w:lang w:val="en" w:eastAsia="zh-CN"/>
        </w:rPr>
        <w:t>文化和旅游部</w:t>
      </w:r>
      <w:r>
        <w:rPr>
          <w:rFonts w:hint="eastAsia" w:ascii="仿宋_GB2312" w:hAnsi="仿宋_GB2312" w:eastAsia="仿宋_GB2312" w:cs="仿宋_GB2312"/>
          <w:sz w:val="36"/>
          <w:szCs w:val="36"/>
        </w:rPr>
        <w:t>起草了《文化和旅游部</w:t>
      </w:r>
      <w:r>
        <w:rPr>
          <w:rFonts w:hint="default" w:ascii="仿宋_GB2312" w:hAnsi="仿宋_GB2312" w:eastAsia="仿宋_GB2312" w:cs="仿宋_GB2312"/>
          <w:sz w:val="36"/>
          <w:szCs w:val="36"/>
          <w:lang w:val="en"/>
        </w:rPr>
        <w:t>行政复议和应诉办法</w:t>
      </w:r>
      <w:r>
        <w:rPr>
          <w:rFonts w:hint="eastAsia" w:ascii="仿宋_GB2312" w:hAnsi="仿宋_GB2312" w:eastAsia="仿宋_GB2312" w:cs="仿宋_GB2312"/>
          <w:sz w:val="36"/>
          <w:szCs w:val="36"/>
        </w:rPr>
        <w:t>（征求意见稿）》（以下简称《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办法</w:t>
      </w:r>
      <w:r>
        <w:rPr>
          <w:rFonts w:hint="eastAsia" w:ascii="仿宋_GB2312" w:hAnsi="仿宋_GB2312" w:eastAsia="仿宋_GB2312" w:cs="仿宋_GB2312"/>
          <w:sz w:val="36"/>
          <w:szCs w:val="36"/>
        </w:rPr>
        <w:t>》），现就相关情况说明如下</w:t>
      </w:r>
      <w:r>
        <w:rPr>
          <w:rFonts w:hint="eastAsia" w:ascii="仿宋_GB2312" w:hAnsi="仿宋_GB2312" w:cs="仿宋_GB2312"/>
          <w:sz w:val="36"/>
          <w:szCs w:val="36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一、起草背景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《中华人民共和国行政复议法》由第十四届全国人民代表大会常务委员会第五次会议于2023年9月1日修订通过，自2024年1月1日起施行。修订后的</w:t>
      </w:r>
      <w:r>
        <w:rPr>
          <w:rFonts w:hint="eastAsia" w:ascii="仿宋_GB2312" w:hAnsi="仿宋_GB2312" w:eastAsia="仿宋_GB2312" w:cs="仿宋_GB2312"/>
          <w:sz w:val="36"/>
          <w:szCs w:val="36"/>
          <w:lang w:val="en" w:eastAsia="zh-CN"/>
        </w:rPr>
        <w:t>《行政复议法》</w:t>
      </w:r>
      <w:r>
        <w:rPr>
          <w:rFonts w:hint="eastAsia" w:ascii="仿宋_GB2312" w:hAnsi="仿宋_GB2312" w:eastAsia="仿宋_GB2312" w:cs="仿宋_GB2312"/>
          <w:sz w:val="36"/>
          <w:szCs w:val="36"/>
        </w:rPr>
        <w:t>扩大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了行政复议案件</w:t>
      </w:r>
      <w:r>
        <w:rPr>
          <w:rFonts w:hint="eastAsia" w:ascii="仿宋_GB2312" w:hAnsi="仿宋_GB2312" w:eastAsia="仿宋_GB2312" w:cs="仿宋_GB2312"/>
          <w:sz w:val="36"/>
          <w:szCs w:val="36"/>
        </w:rPr>
        <w:t>受案范围，完善受理及审理程序，明确行政复议机构负责组织办理行政复议机关的行政应诉事项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，对充分发挥行政复议化解行政争议主渠道作用、落实便民为民举措、</w:t>
      </w:r>
      <w:r>
        <w:rPr>
          <w:rFonts w:hint="eastAsia" w:ascii="仿宋_GB2312" w:hAnsi="仿宋_GB2312" w:eastAsia="仿宋_GB2312" w:cs="仿宋_GB2312"/>
          <w:sz w:val="36"/>
          <w:szCs w:val="36"/>
        </w:rPr>
        <w:t>维护人民群众合法权益，具有重要意义。依照修订后的</w:t>
      </w:r>
      <w:r>
        <w:rPr>
          <w:rFonts w:hint="eastAsia" w:ascii="仿宋_GB2312" w:hAnsi="仿宋_GB2312" w:eastAsia="仿宋_GB2312" w:cs="仿宋_GB2312"/>
          <w:sz w:val="36"/>
          <w:szCs w:val="36"/>
          <w:lang w:val="en" w:eastAsia="zh-CN"/>
        </w:rPr>
        <w:t>《行政复议法》</w:t>
      </w:r>
      <w:r>
        <w:rPr>
          <w:rFonts w:hint="eastAsia" w:ascii="仿宋_GB2312" w:hAnsi="仿宋_GB2312" w:eastAsia="仿宋_GB2312" w:cs="仿宋_GB2312"/>
          <w:sz w:val="36"/>
          <w:szCs w:val="36"/>
        </w:rPr>
        <w:t>，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文化和旅游</w:t>
      </w:r>
      <w:r>
        <w:rPr>
          <w:rFonts w:hint="eastAsia" w:ascii="仿宋_GB2312" w:hAnsi="仿宋_GB2312" w:eastAsia="仿宋_GB2312" w:cs="仿宋_GB2312"/>
          <w:sz w:val="36"/>
          <w:szCs w:val="36"/>
        </w:rPr>
        <w:t>部主要管辖对本部门行政行为不服的行政复议案件，不再管辖对省级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文化和旅游</w:t>
      </w:r>
      <w:r>
        <w:rPr>
          <w:rFonts w:hint="eastAsia" w:ascii="仿宋_GB2312" w:hAnsi="仿宋_GB2312" w:eastAsia="仿宋_GB2312" w:cs="仿宋_GB2312"/>
          <w:sz w:val="36"/>
          <w:szCs w:val="36"/>
        </w:rPr>
        <w:t>部门行政行为不服的行政复议案件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此次《办法》的</w:t>
      </w:r>
      <w:r>
        <w:rPr>
          <w:rFonts w:hint="eastAsia" w:ascii="仿宋_GB2312" w:hAnsi="仿宋_GB2312" w:eastAsia="仿宋_GB2312" w:cs="仿宋_GB2312"/>
          <w:sz w:val="36"/>
          <w:szCs w:val="36"/>
        </w:rPr>
        <w:t>制定</w:t>
      </w:r>
      <w:r>
        <w:rPr>
          <w:rFonts w:hint="eastAsia" w:ascii="仿宋_GB2312" w:hAnsi="仿宋_GB2312" w:eastAsia="仿宋_GB2312" w:cs="仿宋_GB2312"/>
          <w:sz w:val="36"/>
          <w:szCs w:val="36"/>
          <w:lang w:val="en" w:eastAsia="zh-CN"/>
        </w:rPr>
        <w:t>，深入贯彻落实有关法律、行政法规规定，结合文化和旅游部行政复议和行政应诉工作实际，</w:t>
      </w:r>
      <w:r>
        <w:rPr>
          <w:rFonts w:hint="default" w:ascii="仿宋_GB2312" w:hAnsi="仿宋_GB2312" w:eastAsia="仿宋_GB2312" w:cs="仿宋_GB2312"/>
          <w:sz w:val="36"/>
          <w:szCs w:val="36"/>
          <w:lang w:val="en" w:eastAsia="zh-CN"/>
        </w:rPr>
        <w:t>是</w:t>
      </w:r>
      <w:r>
        <w:rPr>
          <w:rFonts w:hint="eastAsia" w:ascii="仿宋_GB2312" w:hAnsi="仿宋_GB2312" w:eastAsia="仿宋_GB2312" w:cs="仿宋_GB2312"/>
          <w:sz w:val="36"/>
          <w:szCs w:val="36"/>
          <w:lang w:val="en" w:eastAsia="zh-CN"/>
        </w:rPr>
        <w:t>进一步</w:t>
      </w:r>
      <w:r>
        <w:rPr>
          <w:rFonts w:hint="eastAsia" w:ascii="仿宋_GB2312" w:hAnsi="仿宋_GB2312" w:eastAsia="仿宋_GB2312" w:cs="仿宋_GB2312"/>
          <w:sz w:val="36"/>
          <w:szCs w:val="36"/>
        </w:rPr>
        <w:t>规范</w:t>
      </w:r>
      <w:r>
        <w:rPr>
          <w:rFonts w:hint="default" w:ascii="仿宋_GB2312" w:hAnsi="仿宋_GB2312" w:eastAsia="仿宋_GB2312" w:cs="仿宋_GB2312"/>
          <w:sz w:val="36"/>
          <w:szCs w:val="36"/>
          <w:lang w:val="en"/>
        </w:rPr>
        <w:t>文化和旅游</w:t>
      </w:r>
      <w:r>
        <w:rPr>
          <w:rFonts w:hint="eastAsia" w:ascii="仿宋_GB2312" w:hAnsi="仿宋_GB2312" w:eastAsia="仿宋_GB2312" w:cs="仿宋_GB2312"/>
          <w:sz w:val="36"/>
          <w:szCs w:val="36"/>
        </w:rPr>
        <w:t>部行政复议和行政应诉工作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监督和保障严格规范公正文明执法的现实需要。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二、起草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" w:eastAsia="zh-CN"/>
        </w:rPr>
      </w:pPr>
      <w:r>
        <w:rPr>
          <w:rFonts w:hint="default" w:ascii="仿宋_GB2312" w:hAnsi="仿宋_GB2312" w:eastAsia="仿宋_GB2312" w:cs="仿宋_GB2312"/>
          <w:sz w:val="36"/>
          <w:szCs w:val="36"/>
          <w:lang w:val="en" w:eastAsia="zh-CN"/>
        </w:rPr>
        <w:t>文化和旅游部深入学习贯彻习近平文化思想和习近平法治思想，全面贯彻落实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习近平总书记关于行政复议工作的重要论述精神，认真学习</w:t>
      </w:r>
      <w:r>
        <w:rPr>
          <w:rFonts w:hint="eastAsia" w:ascii="仿宋_GB2312" w:hAnsi="仿宋_GB2312" w:eastAsia="仿宋_GB2312" w:cs="仿宋_GB2312"/>
          <w:sz w:val="36"/>
          <w:szCs w:val="36"/>
        </w:rPr>
        <w:t>修订后的行政复议法，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开展专题研讨、广泛征求相关部门意见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val="en-US" w:eastAsia="zh-CN"/>
        </w:rPr>
        <w:t>，在此基础上起草形成了</w:t>
      </w:r>
      <w:r>
        <w:rPr>
          <w:rFonts w:hint="default" w:ascii="仿宋_GB2312" w:hAnsi="仿宋_GB2312" w:eastAsia="仿宋_GB2312" w:cs="仿宋_GB2312"/>
          <w:sz w:val="36"/>
          <w:szCs w:val="36"/>
          <w:highlight w:val="none"/>
          <w:lang w:val="en"/>
        </w:rPr>
        <w:t>《办法》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val="en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三、主要内容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default" w:ascii="仿宋_GB2312" w:hAnsi="仿宋_GB2312" w:eastAsia="仿宋_GB2312" w:cs="仿宋_GB2312"/>
          <w:sz w:val="36"/>
          <w:szCs w:val="36"/>
          <w:lang w:val="en"/>
        </w:rPr>
        <w:t>《办法》</w:t>
      </w:r>
      <w:r>
        <w:rPr>
          <w:rFonts w:hint="eastAsia" w:ascii="仿宋_GB2312" w:hAnsi="仿宋_GB2312" w:eastAsia="仿宋_GB2312" w:cs="仿宋_GB2312"/>
          <w:sz w:val="36"/>
          <w:szCs w:val="36"/>
        </w:rPr>
        <w:t>分为总则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行政复议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申请、行政复议办理、</w:t>
      </w:r>
      <w:r>
        <w:rPr>
          <w:rFonts w:hint="eastAsia" w:ascii="仿宋_GB2312" w:hAnsi="仿宋_GB2312" w:eastAsia="仿宋_GB2312" w:cs="仿宋_GB2312"/>
          <w:sz w:val="36"/>
          <w:szCs w:val="36"/>
        </w:rPr>
        <w:t>行政应诉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附则等共5章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6"/>
          <w:szCs w:val="36"/>
        </w:rPr>
        <w:t>条，主要内容如下：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default" w:ascii="仿宋_GB2312" w:hAnsi="仿宋_GB2312" w:eastAsia="仿宋_GB2312" w:cs="仿宋_GB2312"/>
          <w:sz w:val="36"/>
          <w:szCs w:val="36"/>
          <w:lang w:val="en"/>
        </w:rPr>
      </w:pPr>
      <w:r>
        <w:rPr>
          <w:rFonts w:hint="eastAsia" w:ascii="楷体_GB2312" w:hAnsi="楷体_GB2312" w:eastAsia="楷体_GB2312" w:cs="楷体_GB2312"/>
          <w:sz w:val="36"/>
          <w:szCs w:val="36"/>
        </w:rPr>
        <w:t>（一</w:t>
      </w:r>
      <w:r>
        <w:rPr>
          <w:rFonts w:hint="default" w:ascii="楷体_GB2312" w:hAnsi="楷体_GB2312" w:eastAsia="楷体_GB2312" w:cs="楷体_GB2312"/>
          <w:sz w:val="36"/>
          <w:szCs w:val="36"/>
          <w:lang w:val="en"/>
        </w:rPr>
        <w:t>）</w:t>
      </w:r>
      <w:r>
        <w:rPr>
          <w:rFonts w:hint="eastAsia" w:ascii="楷体_GB2312" w:hAnsi="楷体_GB2312" w:eastAsia="楷体_GB2312" w:cs="楷体_GB2312"/>
          <w:sz w:val="36"/>
          <w:szCs w:val="36"/>
          <w:lang w:val="en" w:eastAsia="zh-CN"/>
        </w:rPr>
        <w:t>总则</w:t>
      </w:r>
      <w:r>
        <w:rPr>
          <w:rFonts w:hint="eastAsia" w:ascii="楷体_GB2312" w:hAnsi="楷体_GB2312" w:eastAsia="楷体_GB2312" w:cs="楷体_GB2312"/>
          <w:sz w:val="36"/>
          <w:szCs w:val="36"/>
        </w:rPr>
        <w:t>。</w:t>
      </w:r>
      <w:r>
        <w:rPr>
          <w:rFonts w:hint="eastAsia" w:ascii="仿宋_GB2312" w:hAnsi="仿宋_GB2312" w:eastAsia="仿宋_GB2312" w:cs="仿宋_GB2312"/>
          <w:sz w:val="36"/>
          <w:szCs w:val="36"/>
        </w:rPr>
        <w:t>一是明确适用范围，</w:t>
      </w:r>
      <w:r>
        <w:rPr>
          <w:rFonts w:hint="eastAsia" w:ascii="仿宋_GB2312" w:hAnsi="仿宋_GB2312" w:eastAsia="仿宋_GB2312" w:cs="仿宋_GB2312"/>
          <w:sz w:val="36"/>
          <w:szCs w:val="36"/>
          <w:lang w:val="en"/>
        </w:rPr>
        <w:t>《办法》</w:t>
      </w:r>
      <w:r>
        <w:rPr>
          <w:rFonts w:hint="eastAsia" w:ascii="仿宋_GB2312" w:hAnsi="仿宋_GB2312" w:eastAsia="仿宋_GB2312" w:cs="仿宋_GB2312"/>
          <w:sz w:val="36"/>
          <w:szCs w:val="36"/>
          <w:lang w:val="en" w:eastAsia="zh-CN"/>
        </w:rPr>
        <w:t>适用于</w:t>
      </w:r>
      <w:r>
        <w:rPr>
          <w:rFonts w:hint="default" w:ascii="仿宋_GB2312" w:hAnsi="仿宋_GB2312" w:eastAsia="仿宋_GB2312" w:cs="仿宋_GB2312"/>
          <w:sz w:val="36"/>
          <w:szCs w:val="36"/>
          <w:lang w:val="en"/>
        </w:rPr>
        <w:t>文化和旅游</w:t>
      </w:r>
      <w:r>
        <w:rPr>
          <w:rFonts w:hint="eastAsia" w:ascii="仿宋_GB2312" w:hAnsi="仿宋_GB2312" w:eastAsia="仿宋_GB2312" w:cs="仿宋_GB2312"/>
          <w:sz w:val="36"/>
          <w:szCs w:val="36"/>
        </w:rPr>
        <w:t>部办理行政复议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6"/>
          <w:szCs w:val="36"/>
        </w:rPr>
        <w:t>行政应诉事项，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不适用</w:t>
      </w:r>
      <w:r>
        <w:rPr>
          <w:rFonts w:hint="eastAsia" w:ascii="仿宋_GB2312" w:hAnsi="仿宋_GB2312" w:eastAsia="仿宋_GB2312" w:cs="仿宋_GB2312"/>
          <w:sz w:val="36"/>
          <w:szCs w:val="36"/>
          <w:lang w:val="en"/>
        </w:rPr>
        <w:t>涉及纪检、监察、审计、信访等事项</w:t>
      </w:r>
      <w:r>
        <w:rPr>
          <w:rFonts w:hint="eastAsia" w:ascii="仿宋_GB2312" w:hAnsi="仿宋_GB2312" w:eastAsia="仿宋_GB2312" w:cs="仿宋_GB2312"/>
          <w:sz w:val="36"/>
          <w:szCs w:val="36"/>
          <w:lang w:val="en" w:eastAsia="zh-CN"/>
        </w:rPr>
        <w:t>。二是明确了文化和旅游部履行行政复议、行政应诉职责的工作原则。三</w:t>
      </w:r>
      <w:r>
        <w:rPr>
          <w:rFonts w:hint="eastAsia" w:ascii="仿宋_GB2312" w:hAnsi="仿宋_GB2312" w:eastAsia="仿宋_GB2312" w:cs="仿宋_GB2312"/>
          <w:sz w:val="36"/>
          <w:szCs w:val="36"/>
        </w:rPr>
        <w:t>是明确</w:t>
      </w:r>
      <w:r>
        <w:rPr>
          <w:rFonts w:hint="default" w:ascii="仿宋_GB2312" w:hAnsi="仿宋_GB2312" w:eastAsia="仿宋_GB2312" w:cs="仿宋_GB2312"/>
          <w:sz w:val="36"/>
          <w:szCs w:val="36"/>
          <w:lang w:val="en"/>
        </w:rPr>
        <w:t>职责</w:t>
      </w:r>
      <w:r>
        <w:rPr>
          <w:rFonts w:hint="eastAsia" w:ascii="仿宋_GB2312" w:hAnsi="仿宋_GB2312" w:eastAsia="仿宋_GB2312" w:cs="仿宋_GB2312"/>
          <w:sz w:val="36"/>
          <w:szCs w:val="36"/>
        </w:rPr>
        <w:t>分工，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文化和旅游部是行政复议机关，依照行政复议法履行行政复议职责；文化和旅游部法制机构是文化和旅游部行政复议机构，同时组织办理文化和旅游部行政应诉有关事项；文化和旅游部相关</w:t>
      </w:r>
      <w:r>
        <w:rPr>
          <w:rFonts w:hint="default" w:ascii="仿宋_GB2312" w:hAnsi="仿宋_GB2312" w:eastAsia="仿宋_GB2312" w:cs="仿宋_GB2312"/>
          <w:sz w:val="36"/>
          <w:szCs w:val="36"/>
          <w:lang w:val="en" w:eastAsia="zh-CN"/>
        </w:rPr>
        <w:t>司局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根据行政复议案件的内容，指定专人参与办理涉及本</w:t>
      </w:r>
      <w:r>
        <w:rPr>
          <w:rFonts w:hint="default" w:ascii="仿宋_GB2312" w:hAnsi="仿宋_GB2312" w:eastAsia="仿宋_GB2312" w:cs="仿宋_GB2312"/>
          <w:sz w:val="36"/>
          <w:szCs w:val="36"/>
          <w:lang w:val="en" w:eastAsia="zh-CN"/>
        </w:rPr>
        <w:t>司局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业务的行政复议案件。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firstLine="7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6"/>
          <w:szCs w:val="36"/>
          <w:lang w:val="en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6"/>
          <w:szCs w:val="36"/>
          <w:lang w:val="en-US" w:eastAsia="zh-CN" w:bidi="ar-SA"/>
        </w:rPr>
        <w:t>（二</w:t>
      </w:r>
      <w:r>
        <w:rPr>
          <w:rFonts w:hint="default" w:ascii="楷体_GB2312" w:hAnsi="楷体_GB2312" w:eastAsia="楷体_GB2312" w:cs="楷体_GB2312"/>
          <w:kern w:val="2"/>
          <w:sz w:val="36"/>
          <w:szCs w:val="36"/>
          <w:lang w:val="en" w:eastAsia="zh-CN" w:bidi="ar-SA"/>
        </w:rPr>
        <w:t>）</w:t>
      </w:r>
      <w:r>
        <w:rPr>
          <w:rFonts w:hint="eastAsia" w:ascii="楷体_GB2312" w:hAnsi="楷体_GB2312" w:eastAsia="楷体_GB2312" w:cs="楷体_GB2312"/>
          <w:kern w:val="2"/>
          <w:sz w:val="36"/>
          <w:szCs w:val="36"/>
          <w:lang w:val="en" w:eastAsia="zh-CN" w:bidi="ar-SA"/>
        </w:rPr>
        <w:t>行政复议申请</w:t>
      </w:r>
      <w:r>
        <w:rPr>
          <w:rFonts w:hint="eastAsia" w:ascii="楷体_GB2312" w:hAnsi="楷体_GB2312" w:eastAsia="楷体_GB2312" w:cs="楷体_GB2312"/>
          <w:kern w:val="2"/>
          <w:sz w:val="36"/>
          <w:szCs w:val="36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kern w:val="2"/>
          <w:sz w:val="36"/>
          <w:szCs w:val="36"/>
          <w:lang w:val="en-US" w:eastAsia="zh-CN" w:bidi="ar-SA"/>
        </w:rPr>
        <w:t>一是明确</w:t>
      </w:r>
      <w:r>
        <w:rPr>
          <w:rFonts w:hint="default" w:ascii="仿宋_GB2312" w:hAnsi="仿宋_GB2312" w:eastAsia="仿宋_GB2312" w:cs="仿宋_GB2312"/>
          <w:kern w:val="2"/>
          <w:sz w:val="36"/>
          <w:szCs w:val="36"/>
          <w:lang w:val="en" w:eastAsia="zh-CN" w:bidi="ar-SA"/>
        </w:rPr>
        <w:t>向文化和旅游部申请行政复议的</w:t>
      </w:r>
      <w:r>
        <w:rPr>
          <w:rFonts w:hint="eastAsia" w:ascii="仿宋_GB2312" w:hAnsi="仿宋_GB2312" w:eastAsia="仿宋_GB2312" w:cs="仿宋_GB2312"/>
          <w:kern w:val="2"/>
          <w:sz w:val="36"/>
          <w:szCs w:val="36"/>
          <w:lang w:val="en" w:eastAsia="zh-CN" w:bidi="ar-SA"/>
        </w:rPr>
        <w:t>情形，并明确不属于文化和旅游部管辖的行政复议范围。二是明确行政复议申请人、第三人、委托代理人</w:t>
      </w:r>
      <w:r>
        <w:rPr>
          <w:rFonts w:hint="default" w:ascii="仿宋_GB2312" w:hAnsi="仿宋_GB2312" w:eastAsia="仿宋_GB2312" w:cs="仿宋_GB2312"/>
          <w:kern w:val="2"/>
          <w:sz w:val="36"/>
          <w:szCs w:val="36"/>
          <w:lang w:val="en" w:eastAsia="zh-CN" w:bidi="ar-SA"/>
        </w:rPr>
        <w:t>、被申请人</w:t>
      </w:r>
      <w:r>
        <w:rPr>
          <w:rFonts w:hint="eastAsia" w:ascii="仿宋_GB2312" w:hAnsi="仿宋_GB2312" w:eastAsia="仿宋_GB2312" w:cs="仿宋_GB2312"/>
          <w:kern w:val="2"/>
          <w:sz w:val="36"/>
          <w:szCs w:val="36"/>
          <w:lang w:val="en" w:eastAsia="zh-CN" w:bidi="ar-SA"/>
        </w:rPr>
        <w:t>相关内容。三是明确先向文化和旅游部申请行政复议，再向人民法院提起行政诉讼</w:t>
      </w:r>
      <w:r>
        <w:rPr>
          <w:rFonts w:hint="default" w:ascii="仿宋_GB2312" w:hAnsi="仿宋_GB2312" w:eastAsia="仿宋_GB2312" w:cs="仿宋_GB2312"/>
          <w:kern w:val="2"/>
          <w:sz w:val="36"/>
          <w:szCs w:val="36"/>
          <w:lang w:val="en" w:eastAsia="zh-CN" w:bidi="ar-SA"/>
        </w:rPr>
        <w:t>的情形</w:t>
      </w:r>
      <w:r>
        <w:rPr>
          <w:rFonts w:hint="eastAsia" w:ascii="仿宋_GB2312" w:hAnsi="仿宋_GB2312" w:eastAsia="仿宋_GB2312" w:cs="仿宋_GB2312"/>
          <w:kern w:val="2"/>
          <w:sz w:val="36"/>
          <w:szCs w:val="36"/>
          <w:lang w:val="en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firstLine="72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6"/>
          <w:szCs w:val="36"/>
          <w:lang w:val="en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6"/>
          <w:szCs w:val="36"/>
          <w:lang w:val="en" w:eastAsia="zh-CN" w:bidi="ar-SA"/>
        </w:rPr>
        <w:t>（三）行政复议办理。</w:t>
      </w:r>
      <w:r>
        <w:rPr>
          <w:rFonts w:hint="eastAsia" w:ascii="仿宋_GB2312" w:hAnsi="仿宋_GB2312" w:eastAsia="仿宋_GB2312" w:cs="仿宋_GB2312"/>
          <w:kern w:val="2"/>
          <w:sz w:val="36"/>
          <w:szCs w:val="36"/>
          <w:lang w:val="en" w:eastAsia="zh-CN" w:bidi="ar-SA"/>
        </w:rPr>
        <w:t>一是明确行政复议受理相关内容，明确文化和旅游部审查期限和内</w:t>
      </w:r>
      <w:r>
        <w:rPr>
          <w:rFonts w:hint="eastAsia" w:ascii="仿宋_GB2312" w:hAnsi="仿宋_GB2312" w:eastAsia="仿宋_GB2312" w:cs="仿宋_GB2312"/>
          <w:kern w:val="2"/>
          <w:sz w:val="36"/>
          <w:szCs w:val="36"/>
          <w:lang w:val="en-US" w:eastAsia="zh-CN" w:bidi="ar-SA"/>
        </w:rPr>
        <w:t>容，细化补正程序和审查结果。二是明确行政复议审理相关内容，细化行政复议证据、审理程序、听证程序相关内容。三是明确行政复议</w:t>
      </w:r>
      <w:r>
        <w:rPr>
          <w:rFonts w:hint="eastAsia" w:ascii="仿宋_GB2312" w:hAnsi="仿宋_GB2312" w:eastAsia="仿宋_GB2312" w:cs="仿宋_GB2312"/>
          <w:kern w:val="2"/>
          <w:sz w:val="36"/>
          <w:szCs w:val="36"/>
          <w:lang w:val="en" w:eastAsia="zh-CN" w:bidi="ar-SA"/>
        </w:rPr>
        <w:t>决定类型，</w:t>
      </w:r>
      <w:r>
        <w:rPr>
          <w:rFonts w:hint="eastAsia" w:ascii="仿宋_GB2312" w:hAnsi="仿宋_GB2312" w:eastAsia="仿宋_GB2312" w:cs="仿宋_GB2312"/>
          <w:kern w:val="2"/>
          <w:sz w:val="36"/>
          <w:szCs w:val="36"/>
          <w:lang w:val="en-US" w:eastAsia="zh-CN" w:bidi="ar-SA"/>
        </w:rPr>
        <w:t>明确行政复议决定作出的具体程序，并规范行政复议调解、和解相关内容。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楷体_GB2312" w:hAnsi="楷体_GB2312" w:eastAsia="楷体_GB2312" w:cs="楷体_GB2312"/>
          <w:sz w:val="36"/>
          <w:szCs w:val="36"/>
        </w:rPr>
        <w:t>（</w:t>
      </w:r>
      <w:r>
        <w:rPr>
          <w:rFonts w:hint="eastAsia" w:ascii="楷体_GB2312" w:hAnsi="楷体_GB2312" w:eastAsia="楷体_GB2312" w:cs="楷体_GB2312"/>
          <w:sz w:val="36"/>
          <w:szCs w:val="36"/>
          <w:lang w:eastAsia="zh-CN"/>
        </w:rPr>
        <w:t>四</w:t>
      </w:r>
      <w:r>
        <w:rPr>
          <w:rFonts w:hint="default" w:ascii="楷体_GB2312" w:hAnsi="楷体_GB2312" w:eastAsia="楷体_GB2312" w:cs="楷体_GB2312"/>
          <w:sz w:val="36"/>
          <w:szCs w:val="36"/>
          <w:lang w:val="en"/>
        </w:rPr>
        <w:t>）</w:t>
      </w:r>
      <w:r>
        <w:rPr>
          <w:rFonts w:hint="eastAsia" w:ascii="楷体_GB2312" w:hAnsi="楷体_GB2312" w:eastAsia="楷体_GB2312" w:cs="楷体_GB2312"/>
          <w:sz w:val="36"/>
          <w:szCs w:val="36"/>
          <w:lang w:eastAsia="zh-CN"/>
        </w:rPr>
        <w:t>行政应诉</w:t>
      </w:r>
      <w:r>
        <w:rPr>
          <w:rFonts w:hint="eastAsia" w:ascii="楷体_GB2312" w:hAnsi="楷体_GB2312" w:eastAsia="楷体_GB2312" w:cs="楷体_GB2312"/>
          <w:sz w:val="36"/>
          <w:szCs w:val="36"/>
        </w:rPr>
        <w:t>。</w:t>
      </w:r>
      <w:r>
        <w:rPr>
          <w:rFonts w:hint="eastAsia" w:ascii="仿宋_GB2312" w:hAnsi="仿宋_GB2312" w:eastAsia="仿宋_GB2312" w:cs="仿宋_GB2312"/>
          <w:sz w:val="36"/>
          <w:szCs w:val="36"/>
        </w:rPr>
        <w:t>一是明确行政应诉通知书等材料由行政复议机构统一接收，文化和旅游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</w:rPr>
        <w:t>部</w:t>
      </w:r>
      <w:r>
        <w:rPr>
          <w:rFonts w:hint="default" w:ascii="仿宋_GB2312" w:hAnsi="仿宋_GB2312" w:eastAsia="仿宋_GB2312" w:cs="仿宋_GB2312"/>
          <w:sz w:val="36"/>
          <w:szCs w:val="36"/>
          <w:highlight w:val="none"/>
          <w:lang w:val="en" w:eastAsia="zh-CN"/>
        </w:rPr>
        <w:t>公文接收部门</w:t>
      </w:r>
      <w:r>
        <w:rPr>
          <w:rFonts w:hint="eastAsia" w:ascii="仿宋_GB2312" w:hAnsi="仿宋_GB2312" w:eastAsia="仿宋_GB2312" w:cs="仿宋_GB2312"/>
          <w:sz w:val="36"/>
          <w:szCs w:val="36"/>
          <w:highlight w:val="none"/>
          <w:lang w:eastAsia="zh-CN"/>
        </w:rPr>
        <w:t>、</w:t>
      </w:r>
      <w:r>
        <w:rPr>
          <w:rFonts w:hint="default" w:ascii="仿宋_GB2312" w:hAnsi="仿宋_GB2312" w:eastAsia="仿宋_GB2312" w:cs="仿宋_GB2312"/>
          <w:sz w:val="36"/>
          <w:szCs w:val="36"/>
          <w:highlight w:val="none"/>
          <w:lang w:val="en"/>
        </w:rPr>
        <w:t>机关各司局</w:t>
      </w:r>
      <w:r>
        <w:rPr>
          <w:rFonts w:hint="eastAsia" w:ascii="仿宋_GB2312" w:hAnsi="仿宋_GB2312" w:eastAsia="仿宋_GB2312" w:cs="仿宋_GB2312"/>
          <w:sz w:val="36"/>
          <w:szCs w:val="36"/>
        </w:rPr>
        <w:t>收到有关材料的，应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于一日内</w:t>
      </w:r>
      <w:r>
        <w:rPr>
          <w:rFonts w:hint="eastAsia" w:ascii="仿宋_GB2312" w:hAnsi="仿宋_GB2312" w:eastAsia="仿宋_GB2312" w:cs="仿宋_GB2312"/>
          <w:sz w:val="36"/>
          <w:szCs w:val="36"/>
        </w:rPr>
        <w:t>转送行政复议机构。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二是明确行政复议机构对应诉通知、行政起诉状副本进行登记后，组织文化和旅游部相关</w:t>
      </w:r>
      <w:r>
        <w:rPr>
          <w:rFonts w:hint="default" w:ascii="仿宋_GB2312" w:hAnsi="仿宋_GB2312" w:eastAsia="仿宋_GB2312" w:cs="仿宋_GB2312"/>
          <w:sz w:val="36"/>
          <w:szCs w:val="36"/>
          <w:lang w:val="en" w:eastAsia="zh-CN"/>
        </w:rPr>
        <w:t>司局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办理并及时拟定答辩状，整理证据、依据和其他有关材料，经报文化和旅游部负责人审定后，在法定期限内提交人民法院。三是明确文化和旅游部相关</w:t>
      </w:r>
      <w:r>
        <w:rPr>
          <w:rFonts w:hint="default" w:ascii="仿宋_GB2312" w:hAnsi="仿宋_GB2312" w:eastAsia="仿宋_GB2312" w:cs="仿宋_GB2312"/>
          <w:sz w:val="36"/>
          <w:szCs w:val="36"/>
          <w:lang w:val="en" w:eastAsia="zh-CN"/>
        </w:rPr>
        <w:t>司局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应当指派专人负责案件调查、收集证据材料，提出初步答辩意见，协助行政复议机构组织开展应诉工作。四</w:t>
      </w:r>
      <w:r>
        <w:rPr>
          <w:rFonts w:hint="eastAsia" w:ascii="仿宋_GB2312" w:hAnsi="仿宋_GB2312" w:eastAsia="仿宋_GB2312" w:cs="仿宋_GB2312"/>
          <w:sz w:val="36"/>
          <w:szCs w:val="36"/>
          <w:lang w:val="en" w:eastAsia="zh-CN"/>
        </w:rPr>
        <w:t>是明确</w:t>
      </w:r>
      <w:r>
        <w:rPr>
          <w:rFonts w:hint="default" w:ascii="仿宋_GB2312" w:hAnsi="仿宋_GB2312" w:eastAsia="仿宋_GB2312" w:cs="仿宋_GB2312"/>
          <w:sz w:val="36"/>
          <w:szCs w:val="36"/>
          <w:lang w:val="en" w:eastAsia="zh-CN"/>
        </w:rPr>
        <w:t>上诉、再审的请示程序</w:t>
      </w:r>
      <w:r>
        <w:rPr>
          <w:rFonts w:hint="eastAsia" w:ascii="仿宋_GB2312" w:hAnsi="仿宋_GB2312" w:eastAsia="仿宋_GB2312" w:cs="仿宋_GB2312"/>
          <w:sz w:val="36"/>
          <w:szCs w:val="36"/>
          <w:lang w:val="en" w:eastAsia="zh-CN"/>
        </w:rPr>
        <w:t>。五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是</w:t>
      </w:r>
      <w:r>
        <w:rPr>
          <w:rFonts w:hint="eastAsia" w:ascii="仿宋_GB2312" w:hAnsi="仿宋_GB2312" w:eastAsia="仿宋_GB2312" w:cs="仿宋_GB2312"/>
          <w:sz w:val="36"/>
          <w:szCs w:val="36"/>
          <w:lang w:val="en" w:eastAsia="zh-CN"/>
        </w:rPr>
        <w:t>明确</w:t>
      </w:r>
      <w:r>
        <w:rPr>
          <w:rFonts w:hint="eastAsia" w:ascii="仿宋_GB2312" w:hAnsi="仿宋_GB2312" w:eastAsia="仿宋_GB2312" w:cs="仿宋_GB2312"/>
          <w:sz w:val="36"/>
          <w:szCs w:val="36"/>
        </w:rPr>
        <w:t>对有关检察建议书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6"/>
          <w:szCs w:val="36"/>
        </w:rPr>
        <w:t>司法建议书的处理程序。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" w:eastAsia="zh-CN"/>
        </w:rPr>
      </w:pPr>
      <w:r>
        <w:rPr>
          <w:rFonts w:hint="eastAsia" w:ascii="楷体_GB2312" w:hAnsi="楷体_GB2312" w:eastAsia="楷体_GB2312" w:cs="楷体_GB2312"/>
          <w:sz w:val="36"/>
          <w:szCs w:val="36"/>
          <w:lang w:val="en" w:eastAsia="zh-CN"/>
        </w:rPr>
        <w:t>（五）附则。</w:t>
      </w:r>
      <w:r>
        <w:rPr>
          <w:rFonts w:hint="eastAsia" w:ascii="仿宋_GB2312" w:hAnsi="仿宋_GB2312" w:eastAsia="仿宋_GB2312" w:cs="仿宋_GB2312"/>
          <w:sz w:val="36"/>
          <w:szCs w:val="36"/>
          <w:lang w:val="en" w:eastAsia="zh-CN"/>
        </w:rPr>
        <w:t>一是明确文化和旅游部及其工作人员在行政复议、行政应诉工作中违反法律、行政法规规定的，按照有关规定处理。二是明确期间和送达有关规定。三是明确民事诉讼应诉工作参照《办法》第</w:t>
      </w:r>
      <w:r>
        <w:rPr>
          <w:rFonts w:hint="default" w:ascii="仿宋_GB2312" w:hAnsi="仿宋_GB2312" w:eastAsia="仿宋_GB2312" w:cs="仿宋_GB2312"/>
          <w:sz w:val="36"/>
          <w:szCs w:val="36"/>
          <w:lang w:val="en" w:eastAsia="zh-CN"/>
        </w:rPr>
        <w:t>四</w:t>
      </w:r>
      <w:r>
        <w:rPr>
          <w:rFonts w:hint="eastAsia" w:ascii="仿宋_GB2312" w:hAnsi="仿宋_GB2312" w:eastAsia="仿宋_GB2312" w:cs="仿宋_GB2312"/>
          <w:sz w:val="36"/>
          <w:szCs w:val="36"/>
          <w:lang w:val="en" w:eastAsia="zh-CN"/>
        </w:rPr>
        <w:t>章办理。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eastAsia" w:ascii="黑体" w:hAnsi="黑体" w:eastAsia="黑体" w:cs="黑体"/>
          <w:sz w:val="36"/>
          <w:szCs w:val="36"/>
          <w:lang w:val="en" w:eastAsia="zh-CN"/>
        </w:rPr>
      </w:pPr>
      <w:r>
        <w:rPr>
          <w:rFonts w:hint="eastAsia" w:ascii="黑体" w:hAnsi="黑体" w:eastAsia="黑体" w:cs="黑体"/>
          <w:sz w:val="36"/>
          <w:szCs w:val="36"/>
          <w:lang w:val="en" w:eastAsia="zh-CN"/>
        </w:rPr>
        <w:t>四、需要说明的问题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 w:firstLineChars="200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" w:eastAsia="zh-CN"/>
        </w:rPr>
      </w:pPr>
      <w:r>
        <w:rPr>
          <w:rFonts w:hint="default" w:ascii="仿宋_GB2312" w:hAnsi="仿宋_GB2312" w:eastAsia="仿宋_GB2312" w:cs="仿宋_GB2312"/>
          <w:sz w:val="36"/>
          <w:szCs w:val="36"/>
          <w:lang w:val="en" w:eastAsia="zh-CN"/>
        </w:rPr>
        <w:t>《办法》进一步明确了行政复议决定书的审批权限。</w:t>
      </w:r>
      <w:r>
        <w:rPr>
          <w:rFonts w:hint="eastAsia" w:ascii="仿宋_GB2312" w:hAnsi="仿宋_GB2312" w:eastAsia="仿宋_GB2312" w:cs="仿宋_GB2312"/>
          <w:sz w:val="36"/>
          <w:szCs w:val="36"/>
          <w:lang w:val="en" w:eastAsia="zh-CN"/>
        </w:rPr>
        <w:t>行政复议不予受理决定书和终止决定书由行政复议机构负责人签发，加盖</w:t>
      </w:r>
      <w:r>
        <w:rPr>
          <w:rFonts w:hint="default" w:ascii="仿宋_GB2312" w:hAnsi="仿宋_GB2312" w:eastAsia="仿宋_GB2312" w:cs="仿宋_GB2312"/>
          <w:sz w:val="36"/>
          <w:szCs w:val="36"/>
          <w:lang w:val="en" w:eastAsia="zh-CN"/>
        </w:rPr>
        <w:t>文化和旅游部行政复议专用章</w:t>
      </w:r>
      <w:r>
        <w:rPr>
          <w:rFonts w:hint="eastAsia" w:ascii="仿宋_GB2312" w:hAnsi="仿宋_GB2312" w:eastAsia="仿宋_GB2312" w:cs="仿宋_GB2312"/>
          <w:sz w:val="36"/>
          <w:szCs w:val="36"/>
          <w:lang w:val="en" w:eastAsia="zh-CN"/>
        </w:rPr>
        <w:t>并依法送达。变更、撤销、确认违法、确认无效、维持和驳回的行政复议决定书及行政复议调解书，由文化和旅游部负责人签发，加盖</w:t>
      </w:r>
      <w:r>
        <w:rPr>
          <w:rFonts w:hint="default" w:ascii="仿宋_GB2312" w:hAnsi="仿宋_GB2312" w:eastAsia="仿宋_GB2312" w:cs="仿宋_GB2312"/>
          <w:sz w:val="36"/>
          <w:szCs w:val="36"/>
          <w:lang w:val="en" w:eastAsia="zh-CN"/>
        </w:rPr>
        <w:t>文化和旅游部行政复议专用章</w:t>
      </w:r>
      <w:r>
        <w:rPr>
          <w:rFonts w:hint="eastAsia" w:ascii="仿宋_GB2312" w:hAnsi="仿宋_GB2312" w:eastAsia="仿宋_GB2312" w:cs="仿宋_GB2312"/>
          <w:sz w:val="36"/>
          <w:szCs w:val="36"/>
          <w:lang w:val="en" w:eastAsia="zh-CN"/>
        </w:rPr>
        <w:t>并依法送达。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59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qFormat/>
    <w:uiPriority w:val="0"/>
    <w:pPr>
      <w:ind w:firstLine="420" w:firstLineChars="100"/>
    </w:pPr>
    <w:rPr>
      <w:rFonts w:ascii="Calibri" w:hAnsi="Calibri" w:eastAsia="宋体" w:cs="Times New Roman"/>
      <w:szCs w:val="22"/>
    </w:rPr>
  </w:style>
  <w:style w:type="paragraph" w:styleId="3">
    <w:name w:val="Body Text"/>
    <w:basedOn w:val="1"/>
    <w:next w:val="4"/>
    <w:uiPriority w:val="0"/>
    <w:pPr>
      <w:spacing w:after="120"/>
    </w:pPr>
  </w:style>
  <w:style w:type="paragraph" w:styleId="4">
    <w:name w:val="Body Text First Indent"/>
    <w:basedOn w:val="3"/>
    <w:next w:val="3"/>
    <w:uiPriority w:val="0"/>
    <w:pPr>
      <w:spacing w:line="240" w:lineRule="auto"/>
      <w:ind w:firstLine="420" w:firstLineChars="100"/>
    </w:pPr>
    <w:rPr>
      <w:rFonts w:ascii="Calibri" w:hAnsi="Calibri"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2025-04-14T03:33:33Z</dcterms:created>
  <dc:creator>LL</dc:creator>
  <cp:lastModifiedBy>LL</cp:lastModifiedBy>
  <dcterms:modified xsi:type="dcterms:W3CDTF">2025-04-14T03:33:52Z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