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560" w:lineRule="exact"/>
        <w:jc w:val="left"/>
        <w:textAlignment w:val="auto"/>
        <w:rPr>
          <w:rFonts w:hint="eastAsia" w:ascii="黑体" w:hAnsi="黑体" w:eastAsia="黑体" w:cs="黑体"/>
          <w:b w:val="0"/>
          <w:bCs w:val="0"/>
          <w:sz w:val="32"/>
          <w:szCs w:val="32"/>
          <w:lang w:eastAsia="zh-CN"/>
        </w:rPr>
      </w:pPr>
      <w:bookmarkStart w:id="0" w:name="OLE_LINK11"/>
      <w:bookmarkStart w:id="1" w:name="OLE_LINK10"/>
      <w:r>
        <w:rPr>
          <w:rFonts w:hint="eastAsia" w:ascii="黑体" w:hAnsi="黑体" w:eastAsia="黑体" w:cs="黑体"/>
          <w:b w:val="0"/>
          <w:bCs w:val="0"/>
          <w:sz w:val="32"/>
          <w:szCs w:val="32"/>
          <w:lang w:eastAsia="zh-CN"/>
        </w:rPr>
        <w:t>附件</w:t>
      </w:r>
    </w:p>
    <w:p>
      <w:pPr>
        <w:pageBreakBefore w:val="0"/>
        <w:widowControl w:val="0"/>
        <w:kinsoku/>
        <w:wordWrap/>
        <w:overflowPunct/>
        <w:topLinePunct w:val="0"/>
        <w:autoSpaceDE/>
        <w:autoSpaceDN/>
        <w:bidi w:val="0"/>
        <w:spacing w:line="560" w:lineRule="exact"/>
        <w:jc w:val="left"/>
        <w:textAlignment w:val="auto"/>
        <w:rPr>
          <w:rFonts w:hint="eastAsia" w:ascii="黑体" w:hAnsi="黑体" w:eastAsia="黑体" w:cs="黑体"/>
          <w:b w:val="0"/>
          <w:bCs w:val="0"/>
          <w:sz w:val="32"/>
          <w:szCs w:val="32"/>
          <w:lang w:eastAsia="zh-CN"/>
        </w:rPr>
      </w:pPr>
    </w:p>
    <w:bookmarkEnd w:id="0"/>
    <w:bookmarkEnd w:id="1"/>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旅游</w:t>
      </w:r>
      <w:r>
        <w:rPr>
          <w:rFonts w:hint="eastAsia" w:ascii="方正小标宋简体" w:hAnsi="方正小标宋简体" w:eastAsia="方正小标宋简体" w:cs="方正小标宋简体"/>
          <w:sz w:val="44"/>
          <w:szCs w:val="44"/>
        </w:rPr>
        <w:t>职业</w:t>
      </w:r>
      <w:r>
        <w:rPr>
          <w:rFonts w:hint="eastAsia" w:ascii="方正小标宋简体" w:hAnsi="方正小标宋简体" w:eastAsia="方正小标宋简体" w:cs="方正小标宋简体"/>
          <w:sz w:val="44"/>
          <w:szCs w:val="44"/>
          <w:lang w:eastAsia="zh-CN"/>
        </w:rPr>
        <w:t>教育</w:t>
      </w:r>
      <w:r>
        <w:rPr>
          <w:rFonts w:hint="eastAsia" w:ascii="方正小标宋简体" w:hAnsi="方正小标宋简体" w:eastAsia="方正小标宋简体" w:cs="方正小标宋简体"/>
          <w:sz w:val="44"/>
          <w:szCs w:val="44"/>
        </w:rPr>
        <w:t>“五新”建设优秀案例</w:t>
      </w:r>
      <w:r>
        <w:rPr>
          <w:rFonts w:hint="eastAsia" w:ascii="方正小标宋简体" w:hAnsi="方正小标宋简体" w:eastAsia="方正小标宋简体" w:cs="方正小标宋简体"/>
          <w:sz w:val="44"/>
          <w:szCs w:val="44"/>
          <w:lang w:eastAsia="zh-CN"/>
        </w:rPr>
        <w:t>征集工作</w:t>
      </w:r>
      <w:r>
        <w:rPr>
          <w:rFonts w:hint="eastAsia" w:ascii="方正小标宋简体" w:hAnsi="方正小标宋简体" w:eastAsia="方正小标宋简体" w:cs="方正小标宋简体"/>
          <w:sz w:val="44"/>
          <w:szCs w:val="44"/>
          <w:lang w:val="en-US" w:eastAsia="zh-CN"/>
        </w:rPr>
        <w:t>方案</w:t>
      </w:r>
    </w:p>
    <w:p>
      <w:pPr>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黑体" w:cs="Times New Roman"/>
          <w:b w:val="0"/>
          <w:bCs w:val="0"/>
          <w:sz w:val="36"/>
          <w:szCs w:val="36"/>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b w:val="0"/>
          <w:bCs w:val="0"/>
          <w:color w:val="0F1115"/>
          <w:kern w:val="2"/>
          <w:sz w:val="28"/>
          <w:szCs w:val="28"/>
          <w:u w:val="none"/>
          <w:shd w:val="clear" w:color="auto" w:fill="FFFFFF"/>
          <w:lang w:val="en-US" w:eastAsia="zh-CN"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为深入贯彻落实国家关于职业教育改革的决策部署，推动人工智能背景下文旅产业创新与人才培养深度融合，现面向</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旅游</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职业院校旅行服务类</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相关专业，</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包括导游、研学旅行管理与服务、</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智慧景区开发与管理、旅游管理</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等专业</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征集“五新”建设优秀案例。具体事项如下：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color w:val="0F1115"/>
          <w:sz w:val="32"/>
          <w:szCs w:val="32"/>
          <w:shd w:val="clear" w:color="auto" w:fill="FFFFFF"/>
          <w:lang w:val="en-US" w:eastAsia="zh-CN"/>
        </w:rPr>
      </w:pPr>
      <w:r>
        <w:rPr>
          <w:rFonts w:hint="default" w:ascii="Times New Roman" w:hAnsi="Times New Roman" w:eastAsia="黑体" w:cs="Times New Roman"/>
          <w:b w:val="0"/>
          <w:bCs w:val="0"/>
          <w:color w:val="0F1115"/>
          <w:sz w:val="32"/>
          <w:szCs w:val="32"/>
          <w:shd w:val="clear" w:color="auto" w:fill="FFFFFF"/>
        </w:rPr>
        <w:t>一、</w:t>
      </w:r>
      <w:r>
        <w:rPr>
          <w:rFonts w:hint="default" w:ascii="Times New Roman" w:hAnsi="Times New Roman" w:eastAsia="黑体" w:cs="Times New Roman"/>
          <w:b w:val="0"/>
          <w:bCs w:val="0"/>
          <w:color w:val="0F1115"/>
          <w:sz w:val="32"/>
          <w:szCs w:val="32"/>
          <w:shd w:val="clear" w:color="auto" w:fill="FFFFFF"/>
          <w:lang w:val="en-US" w:eastAsia="zh-CN"/>
        </w:rPr>
        <w:t>活动主题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0F1115"/>
          <w:kern w:val="2"/>
          <w:sz w:val="32"/>
          <w:szCs w:val="32"/>
          <w:u w:val="none"/>
          <w:shd w:val="clear" w:color="auto" w:fill="FFFFFF"/>
          <w:lang w:val="zh-TW" w:eastAsia="zh-TW" w:bidi="ar-SA"/>
        </w:rPr>
      </w:pPr>
      <w:r>
        <w:rPr>
          <w:rFonts w:hint="eastAsia" w:ascii="仿宋_GB2312" w:hAnsi="仿宋_GB2312" w:eastAsia="仿宋_GB2312" w:cs="仿宋_GB2312"/>
          <w:b w:val="0"/>
          <w:bCs w:val="0"/>
          <w:color w:val="0F1115"/>
          <w:kern w:val="2"/>
          <w:sz w:val="32"/>
          <w:szCs w:val="32"/>
          <w:u w:val="none"/>
          <w:shd w:val="clear" w:color="auto" w:fill="FFFFFF"/>
          <w:lang w:val="zh-TW" w:eastAsia="zh-TW" w:bidi="ar-SA"/>
        </w:rPr>
        <w:t>专业群创新、专业创新、课堂创新、场景创新、教材创新</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color w:val="0F1115"/>
          <w:sz w:val="32"/>
          <w:szCs w:val="32"/>
          <w:shd w:val="clear" w:color="auto" w:fill="FFFFFF"/>
          <w:lang w:val="en-US" w:eastAsia="zh-CN"/>
        </w:rPr>
      </w:pPr>
      <w:r>
        <w:rPr>
          <w:rFonts w:hint="default" w:ascii="Times New Roman" w:hAnsi="Times New Roman" w:eastAsia="黑体" w:cs="Times New Roman"/>
          <w:b w:val="0"/>
          <w:bCs w:val="0"/>
          <w:color w:val="0F1115"/>
          <w:sz w:val="32"/>
          <w:szCs w:val="32"/>
          <w:shd w:val="clear" w:color="auto" w:fill="FFFFFF"/>
          <w:lang w:val="en-US" w:eastAsia="zh-CN"/>
        </w:rPr>
        <w:t>二、活动组织</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b w:val="0"/>
          <w:bCs w:val="0"/>
          <w:sz w:val="32"/>
          <w:szCs w:val="32"/>
          <w:lang w:val="zh-TW" w:eastAsia="zh-CN"/>
        </w:rPr>
      </w:pPr>
      <w:r>
        <w:rPr>
          <w:rFonts w:hint="eastAsia" w:ascii="方正楷体_GB2312" w:hAnsi="方正楷体_GB2312" w:eastAsia="方正楷体_GB2312" w:cs="方正楷体_GB2312"/>
          <w:b w:val="0"/>
          <w:bCs w:val="0"/>
          <w:sz w:val="32"/>
          <w:szCs w:val="32"/>
          <w:lang w:val="zh-TW" w:eastAsia="zh-CN"/>
        </w:rPr>
        <w:t>（一）主办单位</w:t>
      </w:r>
      <w:bookmarkStart w:id="2" w:name="OLE_LINK16"/>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zh-TW" w:eastAsia="zh-CN"/>
        </w:rPr>
      </w:pPr>
      <w:r>
        <w:rPr>
          <w:rFonts w:hint="eastAsia" w:ascii="仿宋_GB2312" w:hAnsi="仿宋_GB2312" w:eastAsia="仿宋_GB2312" w:cs="仿宋_GB2312"/>
          <w:b w:val="0"/>
          <w:bCs w:val="0"/>
          <w:sz w:val="32"/>
          <w:szCs w:val="32"/>
          <w:lang w:val="zh-TW" w:eastAsia="zh-CN"/>
        </w:rPr>
        <w:t>全国旅游职业教育教学指导委员会</w:t>
      </w:r>
      <w:bookmarkEnd w:id="2"/>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b w:val="0"/>
          <w:bCs w:val="0"/>
          <w:sz w:val="32"/>
          <w:szCs w:val="32"/>
          <w:lang w:val="zh-TW" w:eastAsia="zh-CN"/>
        </w:rPr>
      </w:pPr>
      <w:r>
        <w:rPr>
          <w:rFonts w:hint="eastAsia" w:ascii="方正楷体_GB2312" w:hAnsi="方正楷体_GB2312" w:eastAsia="方正楷体_GB2312" w:cs="方正楷体_GB2312"/>
          <w:b w:val="0"/>
          <w:bCs w:val="0"/>
          <w:sz w:val="32"/>
          <w:szCs w:val="32"/>
          <w:lang w:val="zh-TW" w:eastAsia="zh-CN"/>
        </w:rPr>
        <w:t>承办单位</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64" w:firstLineChars="200"/>
        <w:textAlignment w:val="auto"/>
        <w:rPr>
          <w:rFonts w:hint="default" w:ascii="方正楷体_GB2312" w:hAnsi="方正楷体_GB2312" w:eastAsia="方正楷体_GB2312" w:cs="方正楷体_GB2312"/>
          <w:b w:val="0"/>
          <w:bCs w:val="0"/>
          <w:spacing w:val="6"/>
          <w:sz w:val="32"/>
          <w:szCs w:val="32"/>
          <w:lang w:val="en-US" w:eastAsia="zh-CN"/>
        </w:rPr>
      </w:pPr>
      <w:r>
        <w:rPr>
          <w:rFonts w:hint="eastAsia" w:ascii="仿宋_GB2312" w:hAnsi="仿宋_GB2312" w:eastAsia="仿宋_GB2312" w:cs="仿宋_GB2312"/>
          <w:b w:val="0"/>
          <w:bCs w:val="0"/>
          <w:spacing w:val="6"/>
          <w:sz w:val="32"/>
          <w:szCs w:val="32"/>
          <w:lang w:val="zh-TW" w:eastAsia="zh-CN"/>
        </w:rPr>
        <w:t>全国旅游职业教育教学指导委员会</w:t>
      </w:r>
      <w:r>
        <w:rPr>
          <w:rFonts w:hint="eastAsia" w:ascii="仿宋_GB2312" w:hAnsi="仿宋_GB2312" w:eastAsia="仿宋_GB2312" w:cs="仿宋_GB2312"/>
          <w:b w:val="0"/>
          <w:bCs w:val="0"/>
          <w:spacing w:val="6"/>
          <w:sz w:val="32"/>
          <w:szCs w:val="32"/>
          <w:lang w:val="en-US" w:eastAsia="zh-CN"/>
        </w:rPr>
        <w:t>旅行服务类专业委员会</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浙江省旅游类职业教育行业指导委员会</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zh-TW" w:eastAsia="zh-TW"/>
        </w:rPr>
      </w:pPr>
      <w:r>
        <w:rPr>
          <w:rFonts w:hint="eastAsia" w:ascii="仿宋_GB2312" w:hAnsi="仿宋_GB2312" w:eastAsia="仿宋_GB2312" w:cs="仿宋_GB2312"/>
          <w:b w:val="0"/>
          <w:bCs w:val="0"/>
          <w:sz w:val="32"/>
          <w:szCs w:val="32"/>
          <w:lang w:val="zh-TW" w:eastAsia="zh-TW"/>
        </w:rPr>
        <w:t>浙江旅游职业学院</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高等教育出版社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color w:val="0F1115"/>
          <w:sz w:val="32"/>
          <w:szCs w:val="32"/>
          <w:shd w:val="clear" w:color="auto" w:fill="FFFFFF"/>
          <w:lang w:val="en-US" w:eastAsia="zh-CN"/>
        </w:rPr>
      </w:pPr>
      <w:r>
        <w:rPr>
          <w:rFonts w:hint="default" w:ascii="Times New Roman" w:hAnsi="Times New Roman" w:eastAsia="黑体" w:cs="Times New Roman"/>
          <w:b w:val="0"/>
          <w:bCs w:val="0"/>
          <w:color w:val="0F1115"/>
          <w:sz w:val="32"/>
          <w:szCs w:val="32"/>
          <w:shd w:val="clear" w:color="auto" w:fill="FFFFFF"/>
          <w:lang w:val="en-US" w:eastAsia="zh-CN"/>
        </w:rPr>
        <w:t>三、征集内容</w:t>
      </w:r>
      <w:bookmarkStart w:id="3" w:name="OLE_LINK1"/>
    </w:p>
    <w:p>
      <w:pPr>
        <w:pStyle w:val="9"/>
        <w:keepNext w:val="0"/>
        <w:keepLines w:val="0"/>
        <w:pageBreakBefore w:val="0"/>
        <w:widowControl w:val="0"/>
        <w:shd w:val="clear" w:color="auto" w:fill="auto"/>
        <w:tabs>
          <w:tab w:val="left" w:pos="1608"/>
        </w:tabs>
        <w:kinsoku/>
        <w:wordWrap/>
        <w:overflowPunct/>
        <w:topLinePunct w:val="0"/>
        <w:autoSpaceDE/>
        <w:autoSpaceDN/>
        <w:bidi w:val="0"/>
        <w:adjustRightInd/>
        <w:snapToGrid w:val="0"/>
        <w:spacing w:before="0" w:after="0" w:line="560" w:lineRule="exact"/>
        <w:ind w:right="0" w:firstLine="560" w:firstLineChars="200"/>
        <w:jc w:val="left"/>
        <w:textAlignment w:val="auto"/>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仿宋" w:cs="Times New Roman"/>
          <w:b w:val="0"/>
          <w:bCs w:val="0"/>
          <w:color w:val="0F1115"/>
          <w:kern w:val="2"/>
          <w:sz w:val="28"/>
          <w:szCs w:val="28"/>
          <w:u w:val="none"/>
          <w:shd w:val="clear" w:color="auto" w:fill="FFFFFF"/>
          <w:lang w:val="en-US" w:eastAsia="zh-CN" w:bidi="ar-SA"/>
        </w:rPr>
        <w:t xml:space="preserve"> </w:t>
      </w: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（一）</w:t>
      </w:r>
      <w:r>
        <w:rPr>
          <w:rFonts w:hint="default" w:ascii="Times New Roman" w:hAnsi="Times New Roman" w:eastAsia="楷体_GB2312" w:cs="Times New Roman"/>
          <w:b w:val="0"/>
          <w:bCs w:val="0"/>
          <w:color w:val="0F1115"/>
          <w:kern w:val="2"/>
          <w:sz w:val="32"/>
          <w:szCs w:val="32"/>
          <w:u w:val="none"/>
          <w:shd w:val="clear" w:color="auto" w:fill="FFFFFF"/>
          <w:lang w:val="zh-TW" w:eastAsia="zh-TW" w:bidi="ar-SA"/>
        </w:rPr>
        <w:t>专业</w:t>
      </w: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群</w:t>
      </w:r>
      <w:r>
        <w:rPr>
          <w:rFonts w:hint="default" w:ascii="Times New Roman" w:hAnsi="Times New Roman" w:eastAsia="楷体_GB2312" w:cs="Times New Roman"/>
          <w:b w:val="0"/>
          <w:bCs w:val="0"/>
          <w:color w:val="0F1115"/>
          <w:kern w:val="2"/>
          <w:sz w:val="32"/>
          <w:szCs w:val="32"/>
          <w:u w:val="none"/>
          <w:shd w:val="clear" w:color="auto" w:fill="FFFFFF"/>
          <w:lang w:val="zh-TW" w:eastAsia="zh-TW" w:bidi="ar-SA"/>
        </w:rPr>
        <w:t>创新</w:t>
      </w:r>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left"/>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专业群范围：</w:t>
      </w:r>
      <w:r>
        <w:rPr>
          <w:rFonts w:hint="eastAsia" w:ascii="仿宋_GB2312" w:hAnsi="仿宋_GB2312" w:eastAsia="仿宋_GB2312" w:cs="仿宋_GB2312"/>
          <w:b w:val="0"/>
          <w:bCs w:val="0"/>
          <w:color w:val="0F1115"/>
          <w:kern w:val="2"/>
          <w:sz w:val="32"/>
          <w:szCs w:val="32"/>
          <w:u w:val="none"/>
          <w:shd w:val="clear" w:color="auto" w:fill="FFFFFF"/>
          <w:lang w:val="zh-CN" w:eastAsia="zh-CN" w:bidi="ar-SA"/>
        </w:rPr>
        <w:t>“双高</w:t>
      </w:r>
      <w:r>
        <w:rPr>
          <w:rFonts w:hint="eastAsia" w:ascii="仿宋_GB2312" w:hAnsi="仿宋_GB2312" w:eastAsia="仿宋_GB2312" w:cs="仿宋_GB2312"/>
          <w:b w:val="0"/>
          <w:bCs w:val="0"/>
          <w:color w:val="0F1115"/>
          <w:kern w:val="2"/>
          <w:sz w:val="32"/>
          <w:szCs w:val="32"/>
          <w:u w:val="none"/>
          <w:shd w:val="clear" w:color="auto" w:fill="FFFFFF"/>
          <w:lang w:val="en-US" w:eastAsia="zh-CN" w:bidi="ar-SA"/>
        </w:rPr>
        <w:t>计划”建</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设专业群或</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省级及以上</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高水平专业群。</w:t>
      </w:r>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left"/>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基本内容：专业群组群逻辑、专业群培养目标、专业群建设内容、专业群课程体系、反思与改革设想。</w:t>
      </w:r>
    </w:p>
    <w:p>
      <w:pPr>
        <w:pStyle w:val="9"/>
        <w:keepNext w:val="0"/>
        <w:keepLines w:val="0"/>
        <w:pageBreakBefore w:val="0"/>
        <w:widowControl w:val="0"/>
        <w:shd w:val="clear" w:color="auto" w:fill="auto"/>
        <w:tabs>
          <w:tab w:val="left" w:pos="1608"/>
        </w:tabs>
        <w:kinsoku/>
        <w:wordWrap/>
        <w:overflowPunct/>
        <w:topLinePunct w:val="0"/>
        <w:autoSpaceDE/>
        <w:autoSpaceDN/>
        <w:bidi w:val="0"/>
        <w:adjustRightInd/>
        <w:snapToGrid w:val="0"/>
        <w:spacing w:before="0" w:after="0" w:line="560" w:lineRule="exact"/>
        <w:ind w:right="0" w:firstLine="560" w:firstLineChars="200"/>
        <w:jc w:val="left"/>
        <w:textAlignment w:val="auto"/>
        <w:rPr>
          <w:rFonts w:hint="default" w:ascii="Times New Roman" w:hAnsi="Times New Roman" w:eastAsia="仿宋" w:cs="Times New Roman"/>
          <w:b w:val="0"/>
          <w:bCs w:val="0"/>
          <w:color w:val="0F1115"/>
          <w:kern w:val="2"/>
          <w:sz w:val="28"/>
          <w:szCs w:val="28"/>
          <w:u w:val="none"/>
          <w:shd w:val="clear" w:color="auto" w:fill="FFFFFF"/>
          <w:lang w:val="en-US" w:eastAsia="zh-CN" w:bidi="ar-SA"/>
        </w:rPr>
      </w:pPr>
      <w:bookmarkStart w:id="4" w:name="bookmark18"/>
      <w:r>
        <w:rPr>
          <w:rFonts w:hint="default" w:ascii="Times New Roman" w:hAnsi="Times New Roman" w:eastAsia="仿宋" w:cs="Times New Roman"/>
          <w:b w:val="0"/>
          <w:bCs w:val="0"/>
          <w:color w:val="0F1115"/>
          <w:kern w:val="2"/>
          <w:sz w:val="28"/>
          <w:szCs w:val="28"/>
          <w:u w:val="none"/>
          <w:shd w:val="clear" w:color="auto" w:fill="FFFFFF"/>
          <w:lang w:val="en-US" w:eastAsia="zh-CN" w:bidi="ar-SA"/>
        </w:rPr>
        <w:t xml:space="preserve"> </w:t>
      </w: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w:t>
      </w:r>
      <w:bookmarkEnd w:id="4"/>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二）</w:t>
      </w:r>
      <w:r>
        <w:rPr>
          <w:rFonts w:hint="default" w:ascii="Times New Roman" w:hAnsi="Times New Roman" w:eastAsia="楷体_GB2312" w:cs="Times New Roman"/>
          <w:b w:val="0"/>
          <w:bCs w:val="0"/>
          <w:color w:val="0F1115"/>
          <w:kern w:val="2"/>
          <w:sz w:val="32"/>
          <w:szCs w:val="32"/>
          <w:u w:val="none"/>
          <w:shd w:val="clear" w:color="auto" w:fill="FFFFFF"/>
          <w:lang w:val="zh-TW" w:eastAsia="zh-TW" w:bidi="ar-SA"/>
        </w:rPr>
        <w:t>专业创新</w:t>
      </w:r>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left"/>
        <w:textAlignment w:val="auto"/>
        <w:rPr>
          <w:rFonts w:hint="default" w:ascii="Times New Roman" w:hAnsi="Times New Roman" w:eastAsia="仿宋" w:cs="Times New Roman"/>
          <w:b w:val="0"/>
          <w:bCs w:val="0"/>
          <w:color w:val="0F1115"/>
          <w:kern w:val="2"/>
          <w:sz w:val="28"/>
          <w:szCs w:val="28"/>
          <w:u w:val="none"/>
          <w:shd w:val="clear" w:color="auto" w:fill="FFFFFF"/>
          <w:lang w:val="en-US" w:eastAsia="zh-CN"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基本内容：对接文旅产业数字化、智能化转型</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趋势的</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专业培养目标、专业能力要求、专业课程体系、专业建设举措与成效、反思与改革设想。</w:t>
      </w:r>
    </w:p>
    <w:p>
      <w:pPr>
        <w:pStyle w:val="9"/>
        <w:keepNext w:val="0"/>
        <w:keepLines w:val="0"/>
        <w:pageBreakBefore w:val="0"/>
        <w:widowControl w:val="0"/>
        <w:shd w:val="clear" w:color="auto" w:fill="auto"/>
        <w:tabs>
          <w:tab w:val="left" w:pos="1608"/>
        </w:tabs>
        <w:kinsoku/>
        <w:wordWrap/>
        <w:overflowPunct/>
        <w:topLinePunct w:val="0"/>
        <w:autoSpaceDE/>
        <w:autoSpaceDN/>
        <w:bidi w:val="0"/>
        <w:adjustRightInd/>
        <w:snapToGrid w:val="0"/>
        <w:spacing w:before="0" w:after="0" w:line="560" w:lineRule="exact"/>
        <w:ind w:right="0" w:firstLine="640" w:firstLineChars="200"/>
        <w:jc w:val="left"/>
        <w:textAlignment w:val="auto"/>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w:t>
      </w:r>
      <w:r>
        <w:rPr>
          <w:rFonts w:hint="default" w:ascii="Times New Roman" w:hAnsi="Times New Roman" w:eastAsia="楷体_GB2312" w:cs="Times New Roman"/>
          <w:b w:val="0"/>
          <w:bCs w:val="0"/>
          <w:color w:val="0F1115"/>
          <w:kern w:val="2"/>
          <w:sz w:val="32"/>
          <w:szCs w:val="32"/>
          <w:u w:val="none"/>
          <w:shd w:val="clear" w:color="auto" w:fill="FFFFFF"/>
          <w:lang w:val="en-US" w:eastAsia="zh-Hans" w:bidi="ar-SA"/>
        </w:rPr>
        <w:t>三</w:t>
      </w: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w:t>
      </w:r>
      <w:r>
        <w:rPr>
          <w:rFonts w:hint="default" w:ascii="Times New Roman" w:hAnsi="Times New Roman" w:eastAsia="楷体_GB2312" w:cs="Times New Roman"/>
          <w:b w:val="0"/>
          <w:bCs w:val="0"/>
          <w:color w:val="0F1115"/>
          <w:kern w:val="2"/>
          <w:sz w:val="32"/>
          <w:szCs w:val="32"/>
          <w:u w:val="none"/>
          <w:shd w:val="clear" w:color="auto" w:fill="FFFFFF"/>
          <w:lang w:val="zh-TW" w:eastAsia="zh-TW" w:bidi="ar-SA"/>
        </w:rPr>
        <w:t>课堂创新</w:t>
      </w:r>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560" w:firstLineChars="200"/>
        <w:jc w:val="left"/>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仿宋" w:cs="Times New Roman"/>
          <w:b w:val="0"/>
          <w:bCs w:val="0"/>
          <w:color w:val="0F1115"/>
          <w:kern w:val="2"/>
          <w:sz w:val="28"/>
          <w:szCs w:val="28"/>
          <w:u w:val="none"/>
          <w:shd w:val="clear" w:color="auto" w:fill="FFFFFF"/>
          <w:lang w:val="en-US" w:eastAsia="zh-CN" w:bidi="ar-SA"/>
        </w:rPr>
        <w:t xml:space="preserve"> </w:t>
      </w:r>
      <w:r>
        <w:rPr>
          <w:rFonts w:hint="eastAsia" w:ascii="仿宋_GB2312" w:hAnsi="仿宋_GB2312" w:eastAsia="仿宋_GB2312" w:cs="仿宋_GB2312"/>
          <w:b w:val="0"/>
          <w:bCs w:val="0"/>
          <w:color w:val="0F1115"/>
          <w:kern w:val="2"/>
          <w:sz w:val="32"/>
          <w:szCs w:val="32"/>
          <w:u w:val="none"/>
          <w:shd w:val="clear" w:color="auto" w:fill="FFFFFF"/>
          <w:lang w:val="en-US" w:eastAsia="zh-CN" w:bidi="ar-SA"/>
        </w:rPr>
        <w:t>课程</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范围：专业核心课程</w:t>
      </w:r>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基本内容：根据《高等职业学校专业教学标准》要求，说课程整体设计、教材开发、教学实施、学习效果、数据驱动的教学评价与反馈机制。</w:t>
      </w:r>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640" w:firstLineChars="200"/>
        <w:jc w:val="both"/>
        <w:textAlignment w:val="auto"/>
        <w:rPr>
          <w:rFonts w:hint="default" w:ascii="Times New Roman" w:hAnsi="Times New Roman" w:eastAsia="仿宋" w:cs="Times New Roman"/>
          <w:b w:val="0"/>
          <w:bCs w:val="0"/>
          <w:color w:val="0F1115"/>
          <w:kern w:val="2"/>
          <w:sz w:val="28"/>
          <w:szCs w:val="28"/>
          <w:u w:val="none"/>
          <w:shd w:val="clear" w:color="auto" w:fill="FFFFFF"/>
          <w:lang w:val="en-US" w:eastAsia="zh-CN" w:bidi="ar-SA"/>
        </w:rPr>
      </w:pP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（四）</w:t>
      </w:r>
      <w:r>
        <w:rPr>
          <w:rFonts w:hint="default" w:ascii="Times New Roman" w:hAnsi="Times New Roman" w:eastAsia="楷体_GB2312" w:cs="Times New Roman"/>
          <w:b w:val="0"/>
          <w:bCs w:val="0"/>
          <w:color w:val="0F1115"/>
          <w:kern w:val="2"/>
          <w:sz w:val="32"/>
          <w:szCs w:val="32"/>
          <w:u w:val="none"/>
          <w:shd w:val="clear" w:color="auto" w:fill="FFFFFF"/>
          <w:lang w:val="zh-TW" w:eastAsia="zh-TW" w:bidi="ar-SA"/>
        </w:rPr>
        <w:t>场景创新</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after="0" w:line="560" w:lineRule="exact"/>
        <w:ind w:right="0" w:rightChars="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zh-TW" w:eastAsia="zh-TW"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场景范围：专业</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升级和数字化改造</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在</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专业课堂教学、实践性教学场景以及智能融媒体技术在各领域的应用场景。</w:t>
      </w:r>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基本内容：旅行服务类</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相关专业</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利用融媒体技术和数字化资源</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重塑教学生态、重构教学模式、重组教育技术、重建实训空间、重整教材体系、重造实习场景、重置专业关联</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的</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场景设计、场景搭建、场景运用、特色与创新</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w:t>
      </w:r>
    </w:p>
    <w:p>
      <w:pPr>
        <w:pStyle w:val="9"/>
        <w:keepNext w:val="0"/>
        <w:keepLines w:val="0"/>
        <w:pageBreakBefore w:val="0"/>
        <w:widowControl w:val="0"/>
        <w:shd w:val="clear" w:color="auto" w:fill="auto"/>
        <w:tabs>
          <w:tab w:val="left" w:pos="1608"/>
        </w:tabs>
        <w:kinsoku/>
        <w:wordWrap/>
        <w:overflowPunct/>
        <w:topLinePunct w:val="0"/>
        <w:autoSpaceDE/>
        <w:autoSpaceDN/>
        <w:bidi w:val="0"/>
        <w:adjustRightInd/>
        <w:snapToGrid w:val="0"/>
        <w:spacing w:before="0" w:after="0" w:line="560" w:lineRule="exact"/>
        <w:ind w:left="0" w:leftChars="0" w:right="0" w:firstLine="640" w:firstLineChars="200"/>
        <w:jc w:val="left"/>
        <w:textAlignment w:val="auto"/>
        <w:rPr>
          <w:rFonts w:hint="default" w:ascii="Times New Roman" w:hAnsi="Times New Roman" w:eastAsia="楷体_GB2312" w:cs="Times New Roman"/>
          <w:b w:val="0"/>
          <w:bCs w:val="0"/>
          <w:color w:val="0F1115"/>
          <w:kern w:val="2"/>
          <w:sz w:val="32"/>
          <w:szCs w:val="32"/>
          <w:u w:val="none"/>
          <w:shd w:val="clear" w:color="auto" w:fill="FFFFFF"/>
          <w:lang w:val="en-US" w:eastAsia="zh-Hans" w:bidi="ar-SA"/>
        </w:rPr>
      </w:pP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（五）</w:t>
      </w:r>
      <w:r>
        <w:rPr>
          <w:rFonts w:hint="default" w:ascii="Times New Roman" w:hAnsi="Times New Roman" w:eastAsia="楷体_GB2312" w:cs="Times New Roman"/>
          <w:b w:val="0"/>
          <w:bCs w:val="0"/>
          <w:color w:val="0F1115"/>
          <w:kern w:val="2"/>
          <w:sz w:val="32"/>
          <w:szCs w:val="32"/>
          <w:u w:val="none"/>
          <w:shd w:val="clear" w:color="auto" w:fill="FFFFFF"/>
          <w:lang w:val="zh-TW" w:eastAsia="zh-TW" w:bidi="ar-SA"/>
        </w:rPr>
        <w:t>教材创新</w:t>
      </w:r>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教材范围：全国优秀教材、职业教育国家规划教材或省级规划教材。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基本内容：</w:t>
      </w:r>
      <w:r>
        <w:rPr>
          <w:rFonts w:hint="eastAsia" w:ascii="仿宋_GB2312" w:hAnsi="仿宋_GB2312" w:eastAsia="仿宋_GB2312" w:cs="仿宋_GB2312"/>
          <w:sz w:val="32"/>
          <w:szCs w:val="32"/>
        </w:rPr>
        <w:t>对照新课标阐明教材编写意图和编写体例、知识体系、内在结构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逻辑关系</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教学策略</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等</w:t>
      </w:r>
      <w:r>
        <w:rPr>
          <w:rFonts w:hint="eastAsia" w:ascii="仿宋_GB2312" w:hAnsi="仿宋_GB2312" w:eastAsia="仿宋_GB2312" w:cs="仿宋_GB2312"/>
          <w:sz w:val="32"/>
          <w:szCs w:val="32"/>
        </w:rPr>
        <w:t>内容，</w:t>
      </w:r>
      <w:r>
        <w:rPr>
          <w:rFonts w:hint="eastAsia" w:ascii="仿宋_GB2312" w:hAnsi="仿宋_GB2312" w:eastAsia="仿宋_GB2312" w:cs="仿宋_GB2312"/>
          <w:sz w:val="32"/>
          <w:szCs w:val="32"/>
          <w:lang w:val="en-US" w:eastAsia="zh-CN"/>
        </w:rPr>
        <w:t>做好</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教材</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编写工作</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w:t>
      </w:r>
    </w:p>
    <w:bookmarkEnd w:id="3"/>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color w:val="0F1115"/>
          <w:sz w:val="32"/>
          <w:szCs w:val="32"/>
          <w:shd w:val="clear" w:color="auto" w:fill="FFFFFF"/>
          <w:lang w:val="en-US" w:eastAsia="zh-CN"/>
        </w:rPr>
      </w:pPr>
      <w:bookmarkStart w:id="5" w:name="bookmark21"/>
      <w:bookmarkStart w:id="6" w:name="bookmark22"/>
      <w:bookmarkStart w:id="7" w:name="bookmark20"/>
      <w:bookmarkStart w:id="8" w:name="bookmark19"/>
      <w:r>
        <w:rPr>
          <w:rFonts w:hint="default" w:ascii="Times New Roman" w:hAnsi="Times New Roman" w:eastAsia="黑体" w:cs="Times New Roman"/>
          <w:b w:val="0"/>
          <w:bCs w:val="0"/>
          <w:color w:val="0F1115"/>
          <w:sz w:val="32"/>
          <w:szCs w:val="32"/>
          <w:shd w:val="clear" w:color="auto" w:fill="FFFFFF"/>
          <w:lang w:val="en-US" w:eastAsia="zh-CN"/>
        </w:rPr>
        <w:t>四</w:t>
      </w:r>
      <w:bookmarkEnd w:id="5"/>
      <w:r>
        <w:rPr>
          <w:rFonts w:hint="default" w:ascii="Times New Roman" w:hAnsi="Times New Roman" w:eastAsia="黑体" w:cs="Times New Roman"/>
          <w:b w:val="0"/>
          <w:bCs w:val="0"/>
          <w:color w:val="0F1115"/>
          <w:sz w:val="32"/>
          <w:szCs w:val="32"/>
          <w:shd w:val="clear" w:color="auto" w:fill="FFFFFF"/>
          <w:lang w:val="en-US" w:eastAsia="zh-CN"/>
        </w:rPr>
        <w:t>、</w:t>
      </w:r>
      <w:r>
        <w:rPr>
          <w:rFonts w:hint="default" w:ascii="Times New Roman" w:hAnsi="Times New Roman" w:eastAsia="黑体" w:cs="Times New Roman"/>
          <w:b w:val="0"/>
          <w:bCs w:val="0"/>
          <w:color w:val="0F1115"/>
          <w:sz w:val="32"/>
          <w:szCs w:val="32"/>
          <w:shd w:val="clear" w:color="auto" w:fill="FFFFFF"/>
          <w:lang w:val="en-US" w:eastAsia="zh-Hans"/>
        </w:rPr>
        <w:t>工作</w:t>
      </w:r>
      <w:r>
        <w:rPr>
          <w:rFonts w:hint="default" w:ascii="Times New Roman" w:hAnsi="Times New Roman" w:eastAsia="黑体" w:cs="Times New Roman"/>
          <w:b w:val="0"/>
          <w:bCs w:val="0"/>
          <w:color w:val="0F1115"/>
          <w:sz w:val="32"/>
          <w:szCs w:val="32"/>
          <w:shd w:val="clear" w:color="auto" w:fill="FFFFFF"/>
          <w:lang w:val="en-US" w:eastAsia="zh-CN"/>
        </w:rPr>
        <w:t>程序</w:t>
      </w:r>
      <w:bookmarkEnd w:id="6"/>
      <w:bookmarkEnd w:id="7"/>
      <w:bookmarkEnd w:id="8"/>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after="0" w:line="560" w:lineRule="exact"/>
        <w:ind w:right="0" w:rightChars="0" w:firstLine="640" w:firstLineChars="200"/>
        <w:jc w:val="both"/>
        <w:textAlignment w:val="auto"/>
        <w:rPr>
          <w:rFonts w:hint="default" w:ascii="Times New Roman" w:hAnsi="Times New Roman" w:eastAsia="仿宋" w:cs="Times New Roman"/>
          <w:b w:val="0"/>
          <w:bCs w:val="0"/>
          <w:color w:val="0F1115"/>
          <w:kern w:val="2"/>
          <w:sz w:val="28"/>
          <w:szCs w:val="28"/>
          <w:u w:val="none"/>
          <w:shd w:val="clear" w:color="auto" w:fill="FFFFFF"/>
          <w:lang w:val="en-US" w:eastAsia="zh-CN" w:bidi="ar-SA"/>
        </w:rPr>
      </w:pPr>
      <w:bookmarkStart w:id="9" w:name="bookmark23"/>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w:t>
      </w:r>
      <w:bookmarkEnd w:id="9"/>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一）</w:t>
      </w:r>
      <w:r>
        <w:rPr>
          <w:rFonts w:hint="eastAsia" w:ascii="Times New Roman" w:hAnsi="Times New Roman" w:eastAsia="楷体_GB2312" w:cs="Times New Roman"/>
          <w:b w:val="0"/>
          <w:bCs w:val="0"/>
          <w:color w:val="0F1115"/>
          <w:kern w:val="2"/>
          <w:sz w:val="32"/>
          <w:szCs w:val="32"/>
          <w:u w:val="none"/>
          <w:shd w:val="clear" w:color="auto" w:fill="FFFFFF"/>
          <w:lang w:val="en-US" w:eastAsia="zh-CN" w:bidi="ar-SA"/>
        </w:rPr>
        <w:t>案例</w:t>
      </w: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征集</w:t>
      </w:r>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pPr>
      <w:bookmarkStart w:id="10" w:name="bookmark24"/>
      <w:bookmarkEnd w:id="10"/>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1.</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针对职业院校旅行服务类专业，</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进行</w:t>
      </w:r>
      <w:r>
        <w:rPr>
          <w:rFonts w:hint="default" w:ascii="Times New Roman" w:hAnsi="Times New Roman" w:eastAsia="仿宋_GB2312" w:cs="Times New Roman"/>
          <w:b w:val="0"/>
          <w:bCs w:val="0"/>
          <w:color w:val="0F1115"/>
          <w:kern w:val="2"/>
          <w:sz w:val="32"/>
          <w:szCs w:val="32"/>
          <w:u w:val="none"/>
          <w:shd w:val="clear" w:color="auto" w:fill="FFFFFF"/>
          <w:lang w:val="zh-TW" w:eastAsia="zh-TW" w:bidi="ar-SA"/>
        </w:rPr>
        <w:t>“五</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新</w:t>
      </w:r>
      <w:r>
        <w:rPr>
          <w:rFonts w:hint="default" w:ascii="Times New Roman" w:hAnsi="Times New Roman" w:eastAsia="仿宋_GB2312" w:cs="Times New Roman"/>
          <w:b w:val="0"/>
          <w:bCs w:val="0"/>
          <w:color w:val="0F1115"/>
          <w:kern w:val="2"/>
          <w:sz w:val="32"/>
          <w:szCs w:val="32"/>
          <w:u w:val="none"/>
          <w:shd w:val="clear" w:color="auto" w:fill="FFFFFF"/>
          <w:lang w:val="zh-TW" w:eastAsia="zh-TW" w:bidi="ar-SA"/>
        </w:rPr>
        <w:t>”</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大讲堂</w:t>
      </w:r>
      <w:r>
        <w:rPr>
          <w:rFonts w:hint="default" w:ascii="Times New Roman" w:hAnsi="Times New Roman" w:eastAsia="仿宋_GB2312" w:cs="Times New Roman"/>
          <w:b w:val="0"/>
          <w:bCs w:val="0"/>
          <w:color w:val="0F1115"/>
          <w:kern w:val="2"/>
          <w:sz w:val="32"/>
          <w:szCs w:val="32"/>
          <w:u w:val="none"/>
          <w:shd w:val="clear" w:color="auto" w:fill="FFFFFF"/>
          <w:lang w:val="zh-TW" w:eastAsia="zh-TW" w:bidi="ar-SA"/>
        </w:rPr>
        <w:t>活动</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案例征集。要求结合党的二十大会议精神，体现《职业教育专业目录（2021年）》《职业教育专业简介（2022年修订）《高等职业学校专业教学标准》有关要求</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Hans" w:bidi="ar-SA"/>
        </w:rPr>
        <w:t>充分体现数字技术在教育教学中的深度融合与创新应用，包括但不限于人工智能、大数据、虚拟现实、智慧教学平台等。</w:t>
      </w:r>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both"/>
        <w:textAlignment w:val="auto"/>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Hans" w:bidi="ar-SA"/>
        </w:rPr>
      </w:pPr>
      <w:bookmarkStart w:id="11" w:name="bookmark25"/>
      <w:bookmarkEnd w:id="11"/>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CN" w:bidi="ar-SA"/>
        </w:rPr>
        <w:t>2.</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Hans" w:bidi="ar-SA"/>
        </w:rPr>
        <w:t>教师个人简介（200字左右）及照片，案例文字方案（3000 字左右，包含</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en-US" w:bidi="ar-SA"/>
        </w:rPr>
        <w:t>PDF、WORD</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Hans" w:bidi="ar-SA"/>
        </w:rPr>
        <w:t>两种格式），与</w:t>
      </w:r>
      <w:r>
        <w:rPr>
          <w:rFonts w:hint="eastAsia" w:ascii="Times New Roman" w:hAnsi="Times New Roman" w:eastAsia="仿宋_GB2312" w:cs="Times New Roman"/>
          <w:b w:val="0"/>
          <w:bCs w:val="0"/>
          <w:color w:val="0F1115"/>
          <w:kern w:val="2"/>
          <w:sz w:val="32"/>
          <w:szCs w:val="32"/>
          <w:highlight w:val="none"/>
          <w:u w:val="none"/>
          <w:shd w:val="clear" w:color="auto" w:fill="FFFFFF"/>
          <w:lang w:val="en-US" w:eastAsia="zh-CN" w:bidi="ar-SA"/>
        </w:rPr>
        <w:t>案例介绍</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en-US" w:bidi="ar-SA"/>
        </w:rPr>
        <w:t>PPT</w:t>
      </w:r>
      <w:r>
        <w:rPr>
          <w:rFonts w:hint="eastAsia" w:ascii="Times New Roman" w:hAnsi="Times New Roman" w:eastAsia="仿宋_GB2312" w:cs="Times New Roman"/>
          <w:b w:val="0"/>
          <w:bCs w:val="0"/>
          <w:color w:val="0F1115"/>
          <w:kern w:val="2"/>
          <w:sz w:val="32"/>
          <w:szCs w:val="32"/>
          <w:highlight w:val="none"/>
          <w:u w:val="none"/>
          <w:shd w:val="clear" w:color="auto" w:fill="FFFFFF"/>
          <w:lang w:val="en-US" w:eastAsia="zh-CN" w:bidi="ar-SA"/>
        </w:rPr>
        <w:t>（要求见附件）</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Hans" w:bidi="ar-SA"/>
        </w:rPr>
        <w:t>合为一个压缩包</w:t>
      </w:r>
      <w:r>
        <w:rPr>
          <w:rFonts w:hint="eastAsia" w:ascii="Times New Roman" w:hAnsi="Times New Roman" w:eastAsia="仿宋_GB2312" w:cs="Times New Roman"/>
          <w:b w:val="0"/>
          <w:bCs w:val="0"/>
          <w:color w:val="0F1115"/>
          <w:kern w:val="2"/>
          <w:sz w:val="32"/>
          <w:szCs w:val="32"/>
          <w:highlight w:val="none"/>
          <w:u w:val="none"/>
          <w:shd w:val="clear" w:color="auto" w:fill="FFFFFF"/>
          <w:lang w:val="en-US" w:eastAsia="zh-CN" w:bidi="ar-SA"/>
        </w:rPr>
        <w:t>，</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Hans" w:bidi="ar-SA"/>
        </w:rPr>
        <w:t>以</w:t>
      </w:r>
      <w:r>
        <w:rPr>
          <w:rFonts w:hint="default" w:ascii="Times New Roman" w:hAnsi="Times New Roman" w:eastAsia="仿宋_GB2312" w:cs="Times New Roman"/>
          <w:b w:val="0"/>
          <w:bCs w:val="0"/>
          <w:color w:val="0F1115"/>
          <w:kern w:val="2"/>
          <w:sz w:val="32"/>
          <w:szCs w:val="32"/>
          <w:highlight w:val="none"/>
          <w:u w:val="none"/>
          <w:shd w:val="clear" w:color="auto" w:fill="FFFFFF"/>
          <w:lang w:val="zh-CN" w:eastAsia="zh-CN" w:bidi="ar-SA"/>
        </w:rPr>
        <w:t>“</w:t>
      </w:r>
      <w:r>
        <w:rPr>
          <w:rFonts w:hint="default" w:ascii="Times New Roman" w:hAnsi="Times New Roman" w:eastAsia="仿宋_GB2312" w:cs="Times New Roman"/>
          <w:b w:val="0"/>
          <w:bCs w:val="0"/>
          <w:color w:val="0F1115"/>
          <w:kern w:val="2"/>
          <w:sz w:val="32"/>
          <w:szCs w:val="32"/>
          <w:highlight w:val="none"/>
          <w:u w:val="none"/>
          <w:shd w:val="clear" w:color="auto" w:fill="FFFFFF"/>
          <w:lang w:val="zh-TW" w:eastAsia="zh-TW" w:bidi="ar-SA"/>
        </w:rPr>
        <w:t>专业群创新</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TW" w:bidi="ar-SA"/>
        </w:rPr>
        <w:t>/</w:t>
      </w:r>
      <w:r>
        <w:rPr>
          <w:rFonts w:hint="default" w:ascii="Times New Roman" w:hAnsi="Times New Roman" w:eastAsia="仿宋_GB2312" w:cs="Times New Roman"/>
          <w:b w:val="0"/>
          <w:bCs w:val="0"/>
          <w:color w:val="0F1115"/>
          <w:kern w:val="2"/>
          <w:sz w:val="32"/>
          <w:szCs w:val="32"/>
          <w:highlight w:val="none"/>
          <w:u w:val="none"/>
          <w:shd w:val="clear" w:color="auto" w:fill="FFFFFF"/>
          <w:lang w:val="zh-TW" w:eastAsia="zh-TW" w:bidi="ar-SA"/>
        </w:rPr>
        <w:t>专业创新</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TW" w:bidi="ar-SA"/>
        </w:rPr>
        <w:t>/</w:t>
      </w:r>
      <w:r>
        <w:rPr>
          <w:rFonts w:hint="default" w:ascii="Times New Roman" w:hAnsi="Times New Roman" w:eastAsia="仿宋_GB2312" w:cs="Times New Roman"/>
          <w:b w:val="0"/>
          <w:bCs w:val="0"/>
          <w:color w:val="0F1115"/>
          <w:kern w:val="2"/>
          <w:sz w:val="32"/>
          <w:szCs w:val="32"/>
          <w:highlight w:val="none"/>
          <w:u w:val="none"/>
          <w:shd w:val="clear" w:color="auto" w:fill="FFFFFF"/>
          <w:lang w:val="zh-TW" w:eastAsia="zh-TW" w:bidi="ar-SA"/>
        </w:rPr>
        <w:t>课堂创新</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TW" w:bidi="ar-SA"/>
        </w:rPr>
        <w:t>/</w:t>
      </w:r>
      <w:r>
        <w:rPr>
          <w:rFonts w:hint="default" w:ascii="Times New Roman" w:hAnsi="Times New Roman" w:eastAsia="仿宋_GB2312" w:cs="Times New Roman"/>
          <w:b w:val="0"/>
          <w:bCs w:val="0"/>
          <w:color w:val="0F1115"/>
          <w:kern w:val="2"/>
          <w:sz w:val="32"/>
          <w:szCs w:val="32"/>
          <w:highlight w:val="none"/>
          <w:u w:val="none"/>
          <w:shd w:val="clear" w:color="auto" w:fill="FFFFFF"/>
          <w:lang w:val="zh-TW" w:eastAsia="zh-TW" w:bidi="ar-SA"/>
        </w:rPr>
        <w:t>场景创新</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TW" w:bidi="ar-SA"/>
        </w:rPr>
        <w:t>/</w:t>
      </w:r>
      <w:r>
        <w:rPr>
          <w:rFonts w:hint="default" w:ascii="Times New Roman" w:hAnsi="Times New Roman" w:eastAsia="仿宋_GB2312" w:cs="Times New Roman"/>
          <w:b w:val="0"/>
          <w:bCs w:val="0"/>
          <w:color w:val="0F1115"/>
          <w:kern w:val="2"/>
          <w:sz w:val="32"/>
          <w:szCs w:val="32"/>
          <w:highlight w:val="none"/>
          <w:u w:val="none"/>
          <w:shd w:val="clear" w:color="auto" w:fill="FFFFFF"/>
          <w:lang w:val="zh-TW" w:eastAsia="zh-TW" w:bidi="ar-SA"/>
        </w:rPr>
        <w:t>教材创新</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Hans" w:bidi="ar-SA"/>
        </w:rPr>
        <w:t>+学校名+案例名”命名。</w:t>
      </w:r>
      <w:bookmarkStart w:id="12" w:name="bookmark26"/>
      <w:bookmarkEnd w:id="12"/>
      <w:bookmarkStart w:id="13" w:name="bookmark27"/>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both"/>
        <w:textAlignment w:val="auto"/>
        <w:rPr>
          <w:rFonts w:hint="default" w:ascii="Times New Roman" w:hAnsi="Times New Roman" w:eastAsia="楷体" w:cs="Times New Roman"/>
          <w:b w:val="0"/>
          <w:bCs w:val="0"/>
          <w:spacing w:val="0"/>
          <w:w w:val="100"/>
          <w:kern w:val="2"/>
          <w:position w:val="0"/>
          <w:sz w:val="32"/>
          <w:szCs w:val="32"/>
          <w:u w:val="none"/>
          <w:shd w:val="clear"/>
          <w:lang w:val="en-US" w:eastAsia="zh-CN" w:bidi="ar-SA"/>
        </w:rPr>
      </w:pP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w:t>
      </w:r>
      <w:bookmarkEnd w:id="13"/>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二）</w:t>
      </w:r>
      <w:r>
        <w:rPr>
          <w:rFonts w:hint="eastAsia" w:ascii="Times New Roman" w:hAnsi="Times New Roman" w:eastAsia="楷体_GB2312" w:cs="Times New Roman"/>
          <w:b w:val="0"/>
          <w:bCs w:val="0"/>
          <w:color w:val="0F1115"/>
          <w:kern w:val="2"/>
          <w:sz w:val="32"/>
          <w:szCs w:val="32"/>
          <w:u w:val="none"/>
          <w:shd w:val="clear" w:color="auto" w:fill="FFFFFF"/>
          <w:lang w:val="en-US" w:eastAsia="zh-CN" w:bidi="ar-SA"/>
        </w:rPr>
        <w:t>案例</w:t>
      </w: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遴选</w:t>
      </w:r>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480" w:firstLineChars="200"/>
        <w:jc w:val="both"/>
        <w:textAlignment w:val="auto"/>
        <w:rPr>
          <w:rFonts w:hint="default" w:ascii="Times New Roman" w:hAnsi="Times New Roman" w:eastAsia="仿宋" w:cs="Times New Roman"/>
          <w:b w:val="0"/>
          <w:bCs w:val="0"/>
          <w:color w:val="0F1115"/>
          <w:kern w:val="2"/>
          <w:sz w:val="28"/>
          <w:szCs w:val="28"/>
          <w:u w:val="none"/>
          <w:shd w:val="clear" w:color="auto" w:fill="FFFFFF"/>
          <w:lang w:val="en-US" w:eastAsia="zh-Hans" w:bidi="ar-SA"/>
        </w:rPr>
      </w:pPr>
      <w:r>
        <w:rPr>
          <w:rFonts w:hint="default" w:ascii="Times New Roman" w:hAnsi="Times New Roman" w:eastAsia="宋体" w:cs="Times New Roman"/>
          <w:b w:val="0"/>
          <w:bCs w:val="0"/>
          <w:color w:val="000000"/>
          <w:spacing w:val="0"/>
          <w:w w:val="100"/>
          <w:position w:val="0"/>
          <w:sz w:val="24"/>
          <w:szCs w:val="24"/>
          <w:lang w:val="en-US" w:eastAsia="zh-CN"/>
        </w:rPr>
        <w:t xml:space="preserve"> </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全国旅游职业教育</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教学指导委员会</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组织专家对征集内容进行评审遴选</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并公示</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，最终遴选</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若干</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优秀案例参加现场展示交流。</w:t>
      </w:r>
    </w:p>
    <w:p>
      <w:pPr>
        <w:pStyle w:val="9"/>
        <w:keepNext w:val="0"/>
        <w:keepLines w:val="0"/>
        <w:pageBreakBefore w:val="0"/>
        <w:widowControl w:val="0"/>
        <w:shd w:val="clear" w:color="auto" w:fill="auto"/>
        <w:tabs>
          <w:tab w:val="left" w:pos="1608"/>
        </w:tabs>
        <w:kinsoku/>
        <w:wordWrap/>
        <w:overflowPunct/>
        <w:topLinePunct w:val="0"/>
        <w:autoSpaceDE/>
        <w:autoSpaceDN/>
        <w:bidi w:val="0"/>
        <w:adjustRightInd/>
        <w:snapToGrid w:val="0"/>
        <w:spacing w:before="0" w:after="0" w:line="560" w:lineRule="exact"/>
        <w:ind w:right="0" w:firstLine="640" w:firstLineChars="200"/>
        <w:jc w:val="left"/>
        <w:textAlignment w:val="auto"/>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pPr>
      <w:bookmarkStart w:id="14" w:name="bookmark28"/>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w:t>
      </w:r>
      <w:bookmarkEnd w:id="14"/>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三）展示交流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针对遴选出的优秀案例，组委会将组织现场展示交流活动，以促进旅游职业教育高质量发展。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color w:val="0F1115"/>
          <w:sz w:val="32"/>
          <w:szCs w:val="32"/>
          <w:shd w:val="clear" w:color="auto" w:fill="FFFFFF"/>
          <w:lang w:val="en-US" w:eastAsia="zh-CN"/>
        </w:rPr>
      </w:pPr>
      <w:r>
        <w:rPr>
          <w:rFonts w:hint="default" w:ascii="Times New Roman" w:hAnsi="Times New Roman" w:eastAsia="黑体" w:cs="Times New Roman"/>
          <w:b w:val="0"/>
          <w:bCs w:val="0"/>
          <w:color w:val="0F1115"/>
          <w:sz w:val="32"/>
          <w:szCs w:val="32"/>
          <w:shd w:val="clear" w:color="auto" w:fill="FFFFFF"/>
          <w:lang w:val="en-US" w:eastAsia="zh-CN"/>
        </w:rPr>
        <w:t>五、</w:t>
      </w:r>
      <w:r>
        <w:rPr>
          <w:rFonts w:hint="eastAsia" w:ascii="Times New Roman" w:hAnsi="Times New Roman" w:eastAsia="黑体" w:cs="Times New Roman"/>
          <w:b w:val="0"/>
          <w:bCs w:val="0"/>
          <w:color w:val="0F1115"/>
          <w:sz w:val="32"/>
          <w:szCs w:val="32"/>
          <w:shd w:val="clear" w:color="auto" w:fill="FFFFFF"/>
          <w:lang w:val="en-US" w:eastAsia="zh-CN"/>
        </w:rPr>
        <w:t>案例征集时间</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after="0" w:line="560" w:lineRule="exact"/>
        <w:ind w:right="0" w:rightChars="0" w:firstLine="640" w:firstLineChars="20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10</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月</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13</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日一</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10</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月</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24</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日</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color w:val="0F1115"/>
          <w:sz w:val="32"/>
          <w:szCs w:val="32"/>
          <w:shd w:val="clear" w:color="auto" w:fill="FFFFFF"/>
          <w:lang w:val="en-US" w:eastAsia="zh-CN"/>
        </w:rPr>
      </w:pPr>
      <w:r>
        <w:rPr>
          <w:rFonts w:hint="eastAsia" w:ascii="Times New Roman" w:hAnsi="Times New Roman" w:eastAsia="黑体" w:cs="Times New Roman"/>
          <w:b w:val="0"/>
          <w:bCs w:val="0"/>
          <w:color w:val="0F1115"/>
          <w:sz w:val="32"/>
          <w:szCs w:val="32"/>
          <w:shd w:val="clear" w:color="auto" w:fill="FFFFFF"/>
          <w:lang w:val="en-US" w:eastAsia="zh-CN"/>
        </w:rPr>
        <w:t>六、报名</w:t>
      </w:r>
      <w:r>
        <w:rPr>
          <w:rFonts w:hint="default" w:ascii="Times New Roman" w:hAnsi="Times New Roman" w:eastAsia="黑体" w:cs="Times New Roman"/>
          <w:b w:val="0"/>
          <w:bCs w:val="0"/>
          <w:color w:val="0F1115"/>
          <w:sz w:val="32"/>
          <w:szCs w:val="32"/>
          <w:shd w:val="clear" w:color="auto" w:fill="FFFFFF"/>
          <w:lang w:val="en-US" w:eastAsia="zh-CN"/>
        </w:rPr>
        <w:t>方式</w:t>
      </w:r>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以院校为单位进行报名，并在指定时间之前将申报表（见附件</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6</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）及案例材料压缩包发送至指定邮箱bella1011@126.com（联系人：</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齐晨辰18357110295</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w:t>
      </w:r>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每个报名团队需有一名负责人，团队成员（含负责人）不超过4人。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color w:val="0F1115"/>
          <w:sz w:val="32"/>
          <w:szCs w:val="32"/>
          <w:shd w:val="clear" w:color="auto" w:fill="FFFFFF"/>
          <w:lang w:val="en-US" w:eastAsia="zh-CN"/>
        </w:rPr>
      </w:pPr>
      <w:r>
        <w:rPr>
          <w:rFonts w:hint="eastAsia" w:ascii="Times New Roman" w:hAnsi="Times New Roman" w:eastAsia="黑体" w:cs="Times New Roman"/>
          <w:b w:val="0"/>
          <w:bCs w:val="0"/>
          <w:color w:val="0F1115"/>
          <w:sz w:val="32"/>
          <w:szCs w:val="32"/>
          <w:shd w:val="clear" w:color="auto" w:fill="FFFFFF"/>
          <w:lang w:val="en-US" w:eastAsia="zh-CN"/>
        </w:rPr>
        <w:t>七、入选案例发布</w:t>
      </w:r>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由全国旅游职业教育</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教学指导委员会</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发布</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入选现场展示环节的</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优秀案例名单</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w:t>
      </w:r>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pPr>
      <w:bookmarkStart w:id="15" w:name="bookmark43"/>
      <w:bookmarkEnd w:id="15"/>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pP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 xml:space="preserve">附件： </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1.</w:t>
      </w:r>
      <w:r>
        <w:rPr>
          <w:rFonts w:hint="eastAsia" w:ascii="Times New Roman" w:hAnsi="Times New Roman" w:eastAsia="仿宋_GB2312" w:cs="Times New Roman"/>
          <w:b w:val="0"/>
          <w:bCs w:val="0"/>
          <w:color w:val="0F1115"/>
          <w:kern w:val="2"/>
          <w:sz w:val="32"/>
          <w:szCs w:val="32"/>
          <w:u w:val="none"/>
          <w:shd w:val="clear" w:color="auto" w:fill="FFFFFF"/>
          <w:lang w:val="zh-CN" w:eastAsia="zh-CN" w:bidi="ar-SA"/>
        </w:rPr>
        <w:t>“</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专业群创新</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”案例材料基本要求</w:t>
      </w:r>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1568" w:firstLineChars="49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pPr>
      <w:bookmarkStart w:id="16" w:name="bookmark44"/>
      <w:bookmarkEnd w:id="16"/>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2</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w:t>
      </w:r>
      <w:r>
        <w:rPr>
          <w:rFonts w:hint="eastAsia" w:ascii="Times New Roman" w:hAnsi="Times New Roman" w:eastAsia="仿宋_GB2312" w:cs="Times New Roman"/>
          <w:b w:val="0"/>
          <w:bCs w:val="0"/>
          <w:color w:val="0F1115"/>
          <w:kern w:val="2"/>
          <w:sz w:val="32"/>
          <w:szCs w:val="32"/>
          <w:u w:val="none"/>
          <w:shd w:val="clear" w:color="auto" w:fill="FFFFFF"/>
          <w:lang w:val="zh-CN" w:eastAsia="zh-CN" w:bidi="ar-SA"/>
        </w:rPr>
        <w:t>“</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专业创新</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”案例材料基本要求</w:t>
      </w:r>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1568" w:firstLineChars="49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pPr>
      <w:bookmarkStart w:id="17" w:name="bookmark45"/>
      <w:bookmarkEnd w:id="17"/>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3</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w:t>
      </w:r>
      <w:r>
        <w:rPr>
          <w:rFonts w:hint="eastAsia" w:ascii="Times New Roman" w:hAnsi="Times New Roman" w:eastAsia="仿宋_GB2312" w:cs="Times New Roman"/>
          <w:b w:val="0"/>
          <w:bCs w:val="0"/>
          <w:color w:val="0F1115"/>
          <w:kern w:val="2"/>
          <w:sz w:val="32"/>
          <w:szCs w:val="32"/>
          <w:u w:val="none"/>
          <w:shd w:val="clear" w:color="auto" w:fill="FFFFFF"/>
          <w:lang w:val="zh-CN" w:eastAsia="zh-CN" w:bidi="ar-SA"/>
        </w:rPr>
        <w:t>“</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课程创新</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”案例材料基本要求</w:t>
      </w:r>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1568" w:firstLineChars="49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pPr>
      <w:bookmarkStart w:id="18" w:name="bookmark46"/>
      <w:bookmarkEnd w:id="18"/>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4</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w:t>
      </w:r>
      <w:r>
        <w:rPr>
          <w:rFonts w:hint="eastAsia" w:ascii="Times New Roman" w:hAnsi="Times New Roman" w:eastAsia="仿宋_GB2312" w:cs="Times New Roman"/>
          <w:b w:val="0"/>
          <w:bCs w:val="0"/>
          <w:color w:val="0F1115"/>
          <w:kern w:val="2"/>
          <w:sz w:val="32"/>
          <w:szCs w:val="32"/>
          <w:u w:val="none"/>
          <w:shd w:val="clear" w:color="auto" w:fill="FFFFFF"/>
          <w:lang w:val="zh-CN" w:eastAsia="zh-CN" w:bidi="ar-SA"/>
        </w:rPr>
        <w:t>“</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场景创新</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”案例材料基本要求</w:t>
      </w:r>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1568" w:firstLineChars="49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pP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5</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w:t>
      </w:r>
      <w:r>
        <w:rPr>
          <w:rFonts w:hint="eastAsia" w:ascii="Times New Roman" w:hAnsi="Times New Roman" w:eastAsia="仿宋_GB2312" w:cs="Times New Roman"/>
          <w:b w:val="0"/>
          <w:bCs w:val="0"/>
          <w:color w:val="0F1115"/>
          <w:kern w:val="2"/>
          <w:sz w:val="32"/>
          <w:szCs w:val="32"/>
          <w:u w:val="none"/>
          <w:shd w:val="clear" w:color="auto" w:fill="FFFFFF"/>
          <w:lang w:val="zh-CN" w:eastAsia="zh-CN" w:bidi="ar-SA"/>
        </w:rPr>
        <w:t>“</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教材创新</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”案例材料基本要求</w:t>
      </w:r>
      <w:bookmarkStart w:id="19" w:name="bookmark47"/>
      <w:bookmarkEnd w:id="19"/>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1568" w:firstLineChars="49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6.</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五新</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大讲堂案例展示报名</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回执</w:t>
      </w:r>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pPr>
    </w:p>
    <w:p>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pPr>
    </w:p>
    <w:p>
      <w:pPr>
        <w:pageBreakBefore w:val="0"/>
        <w:widowControl w:val="0"/>
        <w:kinsoku/>
        <w:wordWrap/>
        <w:overflowPunct/>
        <w:topLinePunct w:val="0"/>
        <w:autoSpaceDE/>
        <w:autoSpaceDN/>
        <w:bidi w:val="0"/>
        <w:spacing w:line="560" w:lineRule="exact"/>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t>附件1</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b w:val="0"/>
          <w:bCs w:val="0"/>
          <w:color w:val="000000"/>
          <w:spacing w:val="0"/>
          <w:w w:val="100"/>
          <w:position w:val="0"/>
          <w:sz w:val="44"/>
          <w:szCs w:val="44"/>
        </w:rPr>
      </w:pPr>
      <w:bookmarkStart w:id="20" w:name="bookmark49"/>
      <w:bookmarkStart w:id="21" w:name="bookmark48"/>
      <w:bookmarkStart w:id="22" w:name="bookmark50"/>
      <w:r>
        <w:rPr>
          <w:rFonts w:hint="eastAsia" w:ascii="方正小标宋简体" w:hAnsi="方正小标宋简体" w:eastAsia="方正小标宋简体" w:cs="方正小标宋简体"/>
          <w:b w:val="0"/>
          <w:bCs w:val="0"/>
          <w:color w:val="000000"/>
          <w:spacing w:val="0"/>
          <w:w w:val="100"/>
          <w:position w:val="0"/>
          <w:sz w:val="44"/>
          <w:szCs w:val="44"/>
          <w:lang w:val="zh-CN" w:eastAsia="zh-CN" w:bidi="zh-CN"/>
        </w:rPr>
        <w:t>“</w:t>
      </w:r>
      <w:r>
        <w:rPr>
          <w:rFonts w:hint="eastAsia" w:ascii="方正小标宋简体" w:hAnsi="方正小标宋简体" w:eastAsia="方正小标宋简体" w:cs="方正小标宋简体"/>
          <w:b w:val="0"/>
          <w:bCs w:val="0"/>
          <w:color w:val="000000"/>
          <w:spacing w:val="0"/>
          <w:w w:val="100"/>
          <w:position w:val="0"/>
          <w:sz w:val="44"/>
          <w:szCs w:val="44"/>
          <w:lang w:eastAsia="zh-CN" w:bidi="zh-CN"/>
        </w:rPr>
        <w:t>专业群创新</w:t>
      </w:r>
      <w:r>
        <w:rPr>
          <w:rFonts w:hint="eastAsia" w:ascii="方正小标宋简体" w:hAnsi="方正小标宋简体" w:eastAsia="方正小标宋简体" w:cs="方正小标宋简体"/>
          <w:b w:val="0"/>
          <w:bCs w:val="0"/>
          <w:color w:val="000000"/>
          <w:spacing w:val="0"/>
          <w:w w:val="100"/>
          <w:position w:val="0"/>
          <w:sz w:val="44"/>
          <w:szCs w:val="44"/>
          <w:lang w:eastAsia="zh-CN"/>
        </w:rPr>
        <w:t>”</w:t>
      </w:r>
      <w:r>
        <w:rPr>
          <w:rFonts w:hint="eastAsia" w:ascii="方正小标宋简体" w:hAnsi="方正小标宋简体" w:eastAsia="方正小标宋简体" w:cs="方正小标宋简体"/>
          <w:b w:val="0"/>
          <w:bCs w:val="0"/>
          <w:color w:val="000000"/>
          <w:spacing w:val="0"/>
          <w:w w:val="100"/>
          <w:position w:val="0"/>
          <w:sz w:val="44"/>
          <w:szCs w:val="44"/>
        </w:rPr>
        <w:t>案例材料基本要求</w:t>
      </w:r>
      <w:bookmarkEnd w:id="20"/>
      <w:bookmarkEnd w:id="21"/>
      <w:bookmarkEnd w:id="22"/>
      <w:bookmarkStart w:id="23" w:name="bookmark52"/>
      <w:bookmarkStart w:id="24" w:name="bookmark53"/>
      <w:bookmarkStart w:id="25" w:name="bookmark51"/>
    </w:p>
    <w:p>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t>—、基本内容</w:t>
      </w:r>
      <w:bookmarkEnd w:id="23"/>
      <w:bookmarkEnd w:id="24"/>
      <w:bookmarkEnd w:id="25"/>
      <w:bookmarkStart w:id="26" w:name="bookmark54"/>
      <w:bookmarkEnd w:id="26"/>
    </w:p>
    <w:p>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spacing w:val="0"/>
          <w:w w:val="100"/>
          <w:position w:val="0"/>
          <w:sz w:val="32"/>
          <w:szCs w:val="32"/>
          <w:lang w:val="en-US" w:eastAsia="zh-CN"/>
        </w:rPr>
        <w:t>（一）</w:t>
      </w:r>
      <w:r>
        <w:rPr>
          <w:rFonts w:hint="eastAsia" w:ascii="楷体_GB2312" w:hAnsi="楷体_GB2312" w:eastAsia="楷体_GB2312" w:cs="楷体_GB2312"/>
          <w:b w:val="0"/>
          <w:bCs w:val="0"/>
          <w:color w:val="000000"/>
          <w:spacing w:val="0"/>
          <w:w w:val="100"/>
          <w:position w:val="0"/>
          <w:sz w:val="32"/>
          <w:szCs w:val="32"/>
        </w:rPr>
        <w:t>建设基础与优势特色</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包括</w:t>
      </w:r>
      <w:r>
        <w:rPr>
          <w:rFonts w:hint="eastAsia" w:ascii="仿宋_GB2312" w:hAnsi="仿宋_GB2312" w:eastAsia="仿宋_GB2312" w:cs="仿宋_GB2312"/>
          <w:b w:val="0"/>
          <w:bCs w:val="0"/>
          <w:color w:val="000000"/>
          <w:spacing w:val="0"/>
          <w:w w:val="100"/>
          <w:position w:val="0"/>
          <w:sz w:val="32"/>
          <w:szCs w:val="32"/>
          <w:lang w:val="en-US" w:eastAsia="zh-Hans"/>
        </w:rPr>
        <w:t>招生规模</w:t>
      </w:r>
      <w:r>
        <w:rPr>
          <w:rFonts w:hint="eastAsia" w:ascii="仿宋_GB2312" w:hAnsi="仿宋_GB2312" w:eastAsia="仿宋_GB2312" w:cs="仿宋_GB2312"/>
          <w:b w:val="0"/>
          <w:bCs w:val="0"/>
          <w:color w:val="000000"/>
          <w:spacing w:val="0"/>
          <w:w w:val="100"/>
          <w:position w:val="0"/>
          <w:sz w:val="32"/>
          <w:szCs w:val="32"/>
          <w:lang w:eastAsia="zh-Hans"/>
        </w:rPr>
        <w:t>、</w:t>
      </w:r>
      <w:r>
        <w:rPr>
          <w:rFonts w:hint="eastAsia" w:ascii="仿宋_GB2312" w:hAnsi="仿宋_GB2312" w:eastAsia="仿宋_GB2312" w:cs="仿宋_GB2312"/>
          <w:b w:val="0"/>
          <w:bCs w:val="0"/>
          <w:color w:val="000000"/>
          <w:spacing w:val="0"/>
          <w:w w:val="100"/>
          <w:position w:val="0"/>
          <w:sz w:val="32"/>
          <w:szCs w:val="32"/>
          <w:lang w:val="en-US" w:eastAsia="zh-Hans"/>
        </w:rPr>
        <w:t>师资队伍</w:t>
      </w:r>
      <w:r>
        <w:rPr>
          <w:rFonts w:hint="eastAsia" w:ascii="仿宋_GB2312" w:hAnsi="仿宋_GB2312" w:eastAsia="仿宋_GB2312" w:cs="仿宋_GB2312"/>
          <w:b w:val="0"/>
          <w:bCs w:val="0"/>
          <w:color w:val="000000"/>
          <w:spacing w:val="0"/>
          <w:w w:val="100"/>
          <w:position w:val="0"/>
          <w:sz w:val="32"/>
          <w:szCs w:val="32"/>
          <w:lang w:eastAsia="zh-Hans"/>
        </w:rPr>
        <w:t>、</w:t>
      </w:r>
      <w:r>
        <w:rPr>
          <w:rFonts w:hint="eastAsia" w:ascii="仿宋_GB2312" w:hAnsi="仿宋_GB2312" w:eastAsia="仿宋_GB2312" w:cs="仿宋_GB2312"/>
          <w:b w:val="0"/>
          <w:bCs w:val="0"/>
          <w:color w:val="000000"/>
          <w:spacing w:val="0"/>
          <w:w w:val="100"/>
          <w:position w:val="0"/>
          <w:sz w:val="32"/>
          <w:szCs w:val="32"/>
          <w:lang w:val="en-US" w:eastAsia="zh-Hans"/>
        </w:rPr>
        <w:t>实验实训条件等建设基础</w:t>
      </w:r>
      <w:r>
        <w:rPr>
          <w:rFonts w:hint="eastAsia" w:ascii="仿宋_GB2312" w:hAnsi="仿宋_GB2312" w:eastAsia="仿宋_GB2312" w:cs="仿宋_GB2312"/>
          <w:b w:val="0"/>
          <w:bCs w:val="0"/>
          <w:color w:val="000000"/>
          <w:spacing w:val="0"/>
          <w:w w:val="100"/>
          <w:position w:val="0"/>
          <w:sz w:val="32"/>
          <w:szCs w:val="32"/>
          <w:lang w:eastAsia="zh-Hans"/>
        </w:rPr>
        <w:t>，</w:t>
      </w:r>
      <w:r>
        <w:rPr>
          <w:rFonts w:hint="eastAsia" w:ascii="仿宋_GB2312" w:hAnsi="仿宋_GB2312" w:eastAsia="仿宋_GB2312" w:cs="仿宋_GB2312"/>
          <w:b w:val="0"/>
          <w:bCs w:val="0"/>
          <w:color w:val="000000"/>
          <w:spacing w:val="0"/>
          <w:w w:val="100"/>
          <w:position w:val="0"/>
          <w:sz w:val="32"/>
          <w:szCs w:val="32"/>
          <w:lang w:val="en-US" w:eastAsia="zh-Hans"/>
        </w:rPr>
        <w:t>及应对旅行服务类</w:t>
      </w:r>
      <w:r>
        <w:rPr>
          <w:rFonts w:hint="eastAsia" w:ascii="仿宋_GB2312" w:hAnsi="仿宋_GB2312" w:eastAsia="仿宋_GB2312" w:cs="仿宋_GB2312"/>
          <w:b w:val="0"/>
          <w:bCs w:val="0"/>
          <w:color w:val="000000"/>
          <w:spacing w:val="0"/>
          <w:w w:val="100"/>
          <w:position w:val="0"/>
          <w:sz w:val="32"/>
          <w:szCs w:val="32"/>
        </w:rPr>
        <w:t>业态发展、人才需求变化，主动对接文旅融合、数字化转型等现代化发展战略，产业优化升级所形成的优势与特色等。</w:t>
      </w:r>
    </w:p>
    <w:p>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27" w:name="bookmark55"/>
      <w:bookmarkEnd w:id="27"/>
      <w:r>
        <w:rPr>
          <w:rFonts w:hint="eastAsia" w:ascii="楷体_GB2312" w:hAnsi="楷体_GB2312" w:eastAsia="楷体_GB2312" w:cs="楷体_GB2312"/>
          <w:b w:val="0"/>
          <w:bCs w:val="0"/>
          <w:color w:val="000000"/>
          <w:spacing w:val="0"/>
          <w:w w:val="100"/>
          <w:position w:val="0"/>
          <w:sz w:val="32"/>
          <w:szCs w:val="32"/>
          <w:lang w:val="en-US" w:eastAsia="zh-CN"/>
        </w:rPr>
        <w:t>（二）组群逻辑</w:t>
      </w:r>
    </w:p>
    <w:p>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包括专业群人才培养目标定位、专业群与产业（链）、岗位（群）的对应性、专业群定位，专业群人才培养定位、专业群人才培养能力建设要求、岗位群专业能力要求、专业群内各专业逻辑性等。</w:t>
      </w:r>
    </w:p>
    <w:p>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28" w:name="bookmark56"/>
      <w:bookmarkEnd w:id="28"/>
      <w:r>
        <w:rPr>
          <w:rFonts w:hint="eastAsia" w:ascii="楷体_GB2312" w:hAnsi="楷体_GB2312" w:eastAsia="楷体_GB2312" w:cs="楷体_GB2312"/>
          <w:b w:val="0"/>
          <w:bCs w:val="0"/>
          <w:color w:val="000000"/>
          <w:spacing w:val="0"/>
          <w:w w:val="100"/>
          <w:position w:val="0"/>
          <w:sz w:val="32"/>
          <w:szCs w:val="32"/>
          <w:lang w:val="en-US" w:eastAsia="zh-CN"/>
        </w:rPr>
        <w:t>（三）建设目标</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包括从总体目标和具体目标上体现专业群建设的要求与思路等。</w:t>
      </w:r>
    </w:p>
    <w:p>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29" w:name="bookmark57"/>
      <w:bookmarkEnd w:id="29"/>
      <w:r>
        <w:rPr>
          <w:rFonts w:hint="eastAsia" w:ascii="楷体_GB2312" w:hAnsi="楷体_GB2312" w:eastAsia="楷体_GB2312" w:cs="楷体_GB2312"/>
          <w:b w:val="0"/>
          <w:bCs w:val="0"/>
          <w:color w:val="000000"/>
          <w:spacing w:val="0"/>
          <w:w w:val="100"/>
          <w:position w:val="0"/>
          <w:sz w:val="32"/>
          <w:szCs w:val="32"/>
          <w:lang w:val="en-US" w:eastAsia="zh-CN"/>
        </w:rPr>
        <w:t>（四）建设内容与实施举措</w:t>
      </w:r>
    </w:p>
    <w:p>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i w:val="0"/>
          <w:iCs w:val="0"/>
          <w:smallCaps w:val="0"/>
          <w:strike w:val="0"/>
          <w:color w:val="000000"/>
          <w:spacing w:val="0"/>
          <w:w w:val="100"/>
          <w:position w:val="0"/>
          <w:sz w:val="32"/>
          <w:szCs w:val="32"/>
          <w:lang w:eastAsia="zh-Hans"/>
        </w:rPr>
      </w:pPr>
      <w:r>
        <w:rPr>
          <w:rFonts w:hint="eastAsia" w:ascii="仿宋_GB2312" w:hAnsi="仿宋_GB2312" w:eastAsia="仿宋_GB2312" w:cs="仿宋_GB2312"/>
          <w:b w:val="0"/>
          <w:bCs w:val="0"/>
          <w:i w:val="0"/>
          <w:iCs w:val="0"/>
          <w:smallCaps w:val="0"/>
          <w:strike w:val="0"/>
          <w:color w:val="000000"/>
          <w:spacing w:val="0"/>
          <w:w w:val="100"/>
          <w:position w:val="0"/>
          <w:sz w:val="32"/>
          <w:szCs w:val="32"/>
          <w:lang w:val="zh-CN" w:eastAsia="zh-CN"/>
        </w:rPr>
        <w:t>包括</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Hans"/>
        </w:rPr>
        <w:t>专业群人才</w:t>
      </w:r>
      <w:r>
        <w:rPr>
          <w:rFonts w:hint="eastAsia" w:ascii="仿宋_GB2312" w:hAnsi="仿宋_GB2312" w:eastAsia="仿宋_GB2312" w:cs="仿宋_GB2312"/>
          <w:b w:val="0"/>
          <w:bCs w:val="0"/>
          <w:i w:val="0"/>
          <w:iCs w:val="0"/>
          <w:smallCaps w:val="0"/>
          <w:strike w:val="0"/>
          <w:color w:val="000000"/>
          <w:spacing w:val="0"/>
          <w:w w:val="100"/>
          <w:position w:val="0"/>
          <w:sz w:val="32"/>
          <w:szCs w:val="32"/>
        </w:rPr>
        <w:t>培养模式创新、</w:t>
      </w:r>
      <w:r>
        <w:rPr>
          <w:rFonts w:hint="eastAsia" w:ascii="仿宋_GB2312" w:hAnsi="仿宋_GB2312" w:eastAsia="仿宋_GB2312" w:cs="仿宋_GB2312"/>
          <w:b w:val="0"/>
          <w:bCs w:val="0"/>
          <w:color w:val="000000"/>
          <w:spacing w:val="0"/>
          <w:w w:val="100"/>
          <w:position w:val="0"/>
          <w:sz w:val="32"/>
          <w:szCs w:val="32"/>
        </w:rPr>
        <w:t>专业群课程</w:t>
      </w:r>
      <w:r>
        <w:rPr>
          <w:rFonts w:hint="eastAsia" w:ascii="仿宋_GB2312" w:hAnsi="仿宋_GB2312" w:eastAsia="仿宋_GB2312" w:cs="仿宋_GB2312"/>
          <w:b w:val="0"/>
          <w:bCs w:val="0"/>
          <w:i w:val="0"/>
          <w:iCs w:val="0"/>
          <w:smallCaps w:val="0"/>
          <w:strike w:val="0"/>
          <w:color w:val="000000"/>
          <w:spacing w:val="0"/>
          <w:w w:val="100"/>
          <w:position w:val="0"/>
          <w:sz w:val="32"/>
          <w:szCs w:val="32"/>
        </w:rPr>
        <w:t>体系建设，教学资源</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Hans"/>
        </w:rPr>
        <w:t>建设</w:t>
      </w:r>
      <w:r>
        <w:rPr>
          <w:rFonts w:hint="eastAsia" w:ascii="仿宋_GB2312" w:hAnsi="仿宋_GB2312" w:eastAsia="仿宋_GB2312" w:cs="仿宋_GB2312"/>
          <w:b w:val="0"/>
          <w:bCs w:val="0"/>
          <w:i w:val="0"/>
          <w:iCs w:val="0"/>
          <w:smallCaps w:val="0"/>
          <w:strike w:val="0"/>
          <w:color w:val="000000"/>
          <w:spacing w:val="0"/>
          <w:w w:val="100"/>
          <w:position w:val="0"/>
          <w:sz w:val="32"/>
          <w:szCs w:val="32"/>
          <w:lang w:eastAsia="zh-Hans"/>
        </w:rPr>
        <w:t>、</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Hans"/>
        </w:rPr>
        <w:t>教材教法改</w:t>
      </w:r>
      <w:r>
        <w:rPr>
          <w:rFonts w:hint="eastAsia" w:ascii="仿宋_GB2312" w:hAnsi="仿宋_GB2312" w:eastAsia="仿宋_GB2312" w:cs="仿宋_GB2312"/>
          <w:b w:val="0"/>
          <w:bCs w:val="0"/>
          <w:i w:val="0"/>
          <w:iCs w:val="0"/>
          <w:smallCaps w:val="0"/>
          <w:strike w:val="0"/>
          <w:color w:val="000000"/>
          <w:spacing w:val="0"/>
          <w:w w:val="100"/>
          <w:position w:val="0"/>
          <w:sz w:val="32"/>
          <w:szCs w:val="32"/>
        </w:rPr>
        <w:t>革、教师教学创新团队建设、实践教学基</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zh-CN" w:eastAsia="zh-CN"/>
        </w:rPr>
        <w:t>地提</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Hans"/>
        </w:rPr>
        <w:t>升</w:t>
      </w:r>
      <w:r>
        <w:rPr>
          <w:rFonts w:hint="eastAsia" w:ascii="仿宋_GB2312" w:hAnsi="仿宋_GB2312" w:eastAsia="仿宋_GB2312" w:cs="仿宋_GB2312"/>
          <w:b w:val="0"/>
          <w:bCs w:val="0"/>
          <w:i w:val="0"/>
          <w:iCs w:val="0"/>
          <w:smallCaps w:val="0"/>
          <w:strike w:val="0"/>
          <w:color w:val="000000"/>
          <w:spacing w:val="0"/>
          <w:w w:val="100"/>
          <w:position w:val="0"/>
          <w:sz w:val="32"/>
          <w:szCs w:val="32"/>
        </w:rPr>
        <w:t>、技术技能</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Hans"/>
        </w:rPr>
        <w:t>平台</w:t>
      </w:r>
      <w:r>
        <w:rPr>
          <w:rFonts w:hint="eastAsia" w:ascii="仿宋_GB2312" w:hAnsi="仿宋_GB2312" w:eastAsia="仿宋_GB2312" w:cs="仿宋_GB2312"/>
          <w:b w:val="0"/>
          <w:bCs w:val="0"/>
          <w:i w:val="0"/>
          <w:iCs w:val="0"/>
          <w:smallCaps w:val="0"/>
          <w:strike w:val="0"/>
          <w:color w:val="000000"/>
          <w:spacing w:val="0"/>
          <w:w w:val="100"/>
          <w:position w:val="0"/>
          <w:sz w:val="32"/>
          <w:szCs w:val="32"/>
        </w:rPr>
        <w:t>构建、社会服务、国际交流与合作、资源共享</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Hans"/>
        </w:rPr>
        <w:t>及专业群建设管理</w:t>
      </w:r>
      <w:r>
        <w:rPr>
          <w:rFonts w:hint="eastAsia" w:ascii="仿宋_GB2312" w:hAnsi="仿宋_GB2312" w:eastAsia="仿宋_GB2312" w:cs="仿宋_GB2312"/>
          <w:b w:val="0"/>
          <w:bCs w:val="0"/>
          <w:i w:val="0"/>
          <w:iCs w:val="0"/>
          <w:smallCaps w:val="0"/>
          <w:strike w:val="0"/>
          <w:color w:val="000000"/>
          <w:spacing w:val="0"/>
          <w:w w:val="100"/>
          <w:position w:val="0"/>
          <w:sz w:val="32"/>
          <w:szCs w:val="32"/>
        </w:rPr>
        <w:t>、职业类证书设置等，内容应体现数字化赋能的</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Hans"/>
        </w:rPr>
        <w:t>措施和办法</w:t>
      </w:r>
      <w:r>
        <w:rPr>
          <w:rFonts w:hint="eastAsia" w:ascii="仿宋_GB2312" w:hAnsi="仿宋_GB2312" w:eastAsia="仿宋_GB2312" w:cs="仿宋_GB2312"/>
          <w:b w:val="0"/>
          <w:bCs w:val="0"/>
          <w:i w:val="0"/>
          <w:iCs w:val="0"/>
          <w:smallCaps w:val="0"/>
          <w:strike w:val="0"/>
          <w:color w:val="000000"/>
          <w:spacing w:val="0"/>
          <w:w w:val="100"/>
          <w:position w:val="0"/>
          <w:sz w:val="32"/>
          <w:szCs w:val="32"/>
          <w:lang w:eastAsia="zh-Hans"/>
        </w:rPr>
        <w:t>。</w:t>
      </w:r>
      <w:bookmarkStart w:id="30" w:name="bookmark60"/>
      <w:bookmarkStart w:id="31" w:name="bookmark61"/>
      <w:bookmarkStart w:id="32" w:name="bookmark59"/>
      <w:bookmarkStart w:id="33" w:name="bookmark58"/>
    </w:p>
    <w:p>
      <w:pPr>
        <w:pStyle w:val="9"/>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黑体" w:hAnsi="黑体" w:eastAsia="黑体" w:cs="黑体"/>
          <w:b w:val="0"/>
          <w:bCs w:val="0"/>
          <w:color w:val="000000"/>
          <w:spacing w:val="0"/>
          <w:w w:val="100"/>
          <w:kern w:val="2"/>
          <w:position w:val="0"/>
          <w:sz w:val="32"/>
          <w:szCs w:val="32"/>
          <w:u w:val="none"/>
          <w:shd w:val="clear" w:color="auto" w:fill="auto"/>
          <w:lang w:val="zh-TW" w:eastAsia="zh-TW" w:bidi="zh-TW"/>
        </w:rPr>
        <w:t>二</w:t>
      </w:r>
      <w:bookmarkEnd w:id="30"/>
      <w:r>
        <w:rPr>
          <w:rFonts w:hint="eastAsia" w:ascii="黑体" w:hAnsi="黑体" w:eastAsia="黑体" w:cs="黑体"/>
          <w:b w:val="0"/>
          <w:bCs w:val="0"/>
          <w:color w:val="000000"/>
          <w:spacing w:val="0"/>
          <w:w w:val="100"/>
          <w:kern w:val="2"/>
          <w:position w:val="0"/>
          <w:sz w:val="32"/>
          <w:szCs w:val="32"/>
          <w:u w:val="none"/>
          <w:shd w:val="clear" w:color="auto" w:fill="auto"/>
          <w:lang w:val="zh-TW" w:eastAsia="zh-TW" w:bidi="zh-TW"/>
        </w:rPr>
        <w:t>、提交材料</w:t>
      </w:r>
      <w:bookmarkEnd w:id="31"/>
      <w:bookmarkEnd w:id="32"/>
      <w:bookmarkEnd w:id="33"/>
    </w:p>
    <w:p>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34" w:name="bookmark62"/>
      <w:bookmarkEnd w:id="34"/>
      <w:r>
        <w:rPr>
          <w:rFonts w:hint="eastAsia" w:ascii="楷体_GB2312" w:hAnsi="楷体_GB2312" w:eastAsia="楷体_GB2312" w:cs="楷体_GB2312"/>
          <w:b w:val="0"/>
          <w:bCs w:val="0"/>
          <w:color w:val="000000"/>
          <w:spacing w:val="0"/>
          <w:w w:val="100"/>
          <w:position w:val="0"/>
          <w:sz w:val="32"/>
          <w:szCs w:val="32"/>
          <w:lang w:val="en-US" w:eastAsia="zh-CN"/>
        </w:rPr>
        <w:t>（一）案例介绍</w:t>
      </w:r>
      <w:r>
        <w:rPr>
          <w:rFonts w:hint="eastAsia" w:ascii="楷体_GB2312" w:hAnsi="楷体_GB2312" w:eastAsia="楷体_GB2312" w:cs="楷体_GB2312"/>
          <w:b w:val="0"/>
          <w:bCs w:val="0"/>
          <w:color w:val="000000"/>
          <w:spacing w:val="0"/>
          <w:w w:val="100"/>
          <w:position w:val="0"/>
          <w:sz w:val="32"/>
          <w:szCs w:val="32"/>
          <w:lang w:val="en-US" w:eastAsia="en-US"/>
        </w:rPr>
        <w:t>PPT</w:t>
      </w:r>
    </w:p>
    <w:p>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35" w:name="bookmark63"/>
      <w:bookmarkEnd w:id="35"/>
      <w:r>
        <w:rPr>
          <w:rFonts w:hint="eastAsia" w:ascii="楷体_GB2312" w:hAnsi="楷体_GB2312" w:eastAsia="楷体_GB2312" w:cs="楷体_GB2312"/>
          <w:b w:val="0"/>
          <w:bCs w:val="0"/>
          <w:color w:val="000000"/>
          <w:spacing w:val="0"/>
          <w:w w:val="100"/>
          <w:position w:val="0"/>
          <w:sz w:val="32"/>
          <w:szCs w:val="32"/>
          <w:lang w:val="en-US" w:eastAsia="zh-CN"/>
        </w:rPr>
        <w:t>（二）文字方案：3000字左右</w:t>
      </w:r>
    </w:p>
    <w:p>
      <w:pPr>
        <w:pStyle w:val="9"/>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60" w:lineRule="exact"/>
        <w:ind w:left="0" w:leftChars="0" w:right="0" w:firstLine="640" w:firstLineChars="200"/>
        <w:jc w:val="both"/>
        <w:textAlignment w:val="auto"/>
        <w:rPr>
          <w:rFonts w:hint="eastAsia" w:ascii="黑体" w:hAnsi="黑体" w:eastAsia="黑体" w:cs="黑体"/>
          <w:b w:val="0"/>
          <w:bCs w:val="0"/>
          <w:color w:val="000000"/>
          <w:spacing w:val="0"/>
          <w:w w:val="100"/>
          <w:kern w:val="2"/>
          <w:position w:val="0"/>
          <w:sz w:val="32"/>
          <w:szCs w:val="32"/>
          <w:u w:val="none"/>
          <w:shd w:val="clear" w:color="auto" w:fill="auto"/>
          <w:lang w:val="zh-TW" w:eastAsia="zh-TW" w:bidi="zh-TW"/>
        </w:rPr>
      </w:pPr>
      <w:bookmarkStart w:id="36" w:name="bookmark64"/>
      <w:r>
        <w:rPr>
          <w:rFonts w:hint="eastAsia" w:ascii="黑体" w:hAnsi="黑体" w:eastAsia="黑体" w:cs="黑体"/>
          <w:b w:val="0"/>
          <w:bCs w:val="0"/>
          <w:color w:val="000000"/>
          <w:spacing w:val="0"/>
          <w:w w:val="100"/>
          <w:kern w:val="2"/>
          <w:position w:val="0"/>
          <w:sz w:val="32"/>
          <w:szCs w:val="32"/>
          <w:u w:val="none"/>
          <w:shd w:val="clear" w:color="auto" w:fill="auto"/>
          <w:lang w:val="zh-TW" w:eastAsia="zh-TW" w:bidi="zh-TW"/>
        </w:rPr>
        <w:t>三</w:t>
      </w:r>
      <w:bookmarkEnd w:id="36"/>
      <w:r>
        <w:rPr>
          <w:rFonts w:hint="eastAsia" w:ascii="黑体" w:hAnsi="黑体" w:eastAsia="黑体" w:cs="黑体"/>
          <w:b w:val="0"/>
          <w:bCs w:val="0"/>
          <w:color w:val="000000"/>
          <w:spacing w:val="0"/>
          <w:w w:val="100"/>
          <w:kern w:val="2"/>
          <w:position w:val="0"/>
          <w:sz w:val="32"/>
          <w:szCs w:val="32"/>
          <w:u w:val="none"/>
          <w:shd w:val="clear" w:color="auto" w:fill="auto"/>
          <w:lang w:val="zh-TW" w:eastAsia="zh-TW" w:bidi="zh-TW"/>
        </w:rPr>
        <w:t>、选用标准</w:t>
      </w:r>
    </w:p>
    <w:tbl>
      <w:tblPr>
        <w:tblStyle w:val="6"/>
        <w:tblW w:w="8424" w:type="dxa"/>
        <w:jc w:val="center"/>
        <w:tblInd w:w="0" w:type="dxa"/>
        <w:tblLayout w:type="fixed"/>
        <w:tblCellMar>
          <w:top w:w="0" w:type="dxa"/>
          <w:left w:w="10" w:type="dxa"/>
          <w:bottom w:w="0" w:type="dxa"/>
          <w:right w:w="10" w:type="dxa"/>
        </w:tblCellMar>
      </w:tblPr>
      <w:tblGrid>
        <w:gridCol w:w="809"/>
        <w:gridCol w:w="1350"/>
        <w:gridCol w:w="5354"/>
        <w:gridCol w:w="911"/>
      </w:tblGrid>
      <w:tr>
        <w:tblPrEx>
          <w:tblLayout w:type="fixed"/>
          <w:tblCellMar>
            <w:top w:w="0" w:type="dxa"/>
            <w:left w:w="10" w:type="dxa"/>
            <w:bottom w:w="0" w:type="dxa"/>
            <w:right w:w="10" w:type="dxa"/>
          </w:tblCellMar>
        </w:tblPrEx>
        <w:trPr>
          <w:trHeight w:val="551" w:hRule="exac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序号</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选用指标</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标准</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分值</w:t>
            </w:r>
          </w:p>
        </w:tc>
      </w:tr>
      <w:tr>
        <w:tblPrEx>
          <w:tblLayout w:type="fixed"/>
          <w:tblCellMar>
            <w:top w:w="0" w:type="dxa"/>
            <w:left w:w="10" w:type="dxa"/>
            <w:bottom w:w="0" w:type="dxa"/>
            <w:right w:w="10" w:type="dxa"/>
          </w:tblCellMar>
        </w:tblPrEx>
        <w:trPr>
          <w:trHeight w:val="3956" w:hRule="exac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专业群设置</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专业群定位准确，思路清晰，专业链与产业链</w:t>
            </w:r>
            <w:r>
              <w:rPr>
                <w:rFonts w:hint="eastAsia" w:ascii="仿宋_GB2312" w:hAnsi="仿宋_GB2312" w:eastAsia="仿宋_GB2312" w:cs="仿宋_GB2312"/>
                <w:b w:val="0"/>
                <w:bCs w:val="0"/>
                <w:color w:val="000000"/>
                <w:spacing w:val="0"/>
                <w:w w:val="100"/>
                <w:position w:val="0"/>
                <w:sz w:val="32"/>
                <w:szCs w:val="32"/>
                <w:lang w:val="en-US" w:eastAsia="zh-CN"/>
              </w:rPr>
              <w:t>高度耦合</w:t>
            </w:r>
            <w:r>
              <w:rPr>
                <w:rFonts w:hint="eastAsia" w:ascii="仿宋_GB2312" w:hAnsi="仿宋_GB2312" w:eastAsia="仿宋_GB2312" w:cs="仿宋_GB2312"/>
                <w:b w:val="0"/>
                <w:bCs w:val="0"/>
                <w:color w:val="000000"/>
                <w:spacing w:val="0"/>
                <w:w w:val="100"/>
                <w:position w:val="0"/>
                <w:sz w:val="32"/>
                <w:szCs w:val="32"/>
              </w:rPr>
              <w:t>，符合经济建设与社会发展需求，能发挥专业群的集聚效应和服务功能，实现人才培养供给侧和产业需求侧结构要素全方位融合，突出群内专业能力要求。并符合企业、行业急需人才需要。</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tblPrEx>
          <w:tblLayout w:type="fixed"/>
          <w:tblCellMar>
            <w:top w:w="0" w:type="dxa"/>
            <w:left w:w="10" w:type="dxa"/>
            <w:bottom w:w="0" w:type="dxa"/>
            <w:right w:w="10" w:type="dxa"/>
          </w:tblCellMar>
        </w:tblPrEx>
        <w:trPr>
          <w:trHeight w:val="2848" w:hRule="exac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2</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专业组群逻辑</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专业组群逻辑清晰，结构合理，能基于产业链相互关联的职业岗位群建构或跨界实现从单一专业到 复合专业的跨越，群内专业组建依存关系清晰，人才培养定位明确，专业间资源共享度高。</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tblPrEx>
          <w:tblLayout w:type="fixed"/>
          <w:tblCellMar>
            <w:top w:w="0" w:type="dxa"/>
            <w:left w:w="10" w:type="dxa"/>
            <w:bottom w:w="0" w:type="dxa"/>
            <w:right w:w="10" w:type="dxa"/>
          </w:tblCellMar>
        </w:tblPrEx>
        <w:trPr>
          <w:trHeight w:val="1492" w:hRule="atLeas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3</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专业群课程体系构建</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课程体系构建思路清晰，措施得力。能系统设计专业群公共基础、基础理论和专业核心技术技能课程平台，构建基于培养学生综合素质和职业能力培养的课程体系。</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tblPrEx>
          <w:tblLayout w:type="fixed"/>
          <w:tblCellMar>
            <w:top w:w="0" w:type="dxa"/>
            <w:left w:w="10" w:type="dxa"/>
            <w:bottom w:w="0" w:type="dxa"/>
            <w:right w:w="10" w:type="dxa"/>
          </w:tblCellMar>
        </w:tblPrEx>
        <w:trPr>
          <w:trHeight w:val="3005" w:hRule="exac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4</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教学资源建设</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建设涵盖专业群的教学设计、教学实施、教学评价的数字化专业教学资源，解决专业群共性需求，实现优质资源共享，推动专业群教学改革，提高人才培养质量，增强社会服务能力。</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tblPrEx>
          <w:tblLayout w:type="fixed"/>
          <w:tblCellMar>
            <w:top w:w="0" w:type="dxa"/>
            <w:left w:w="10" w:type="dxa"/>
            <w:bottom w:w="0" w:type="dxa"/>
            <w:right w:w="10" w:type="dxa"/>
          </w:tblCellMar>
        </w:tblPrEx>
        <w:trPr>
          <w:trHeight w:val="3307" w:hRule="exac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28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5</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师资队伍建设</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组建高水平、结构化教师创新团队，探索专业群中专业教师分工协作模块化教学模式，开展三教改革，推动课堂革命。学校和行业、企业相结合的师资建设联动机制，利用社会资源提升教师专业水平和实践能力。</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tblPrEx>
          <w:tblLayout w:type="fixed"/>
          <w:tblCellMar>
            <w:top w:w="0" w:type="dxa"/>
            <w:left w:w="10" w:type="dxa"/>
            <w:bottom w:w="0" w:type="dxa"/>
            <w:right w:w="10" w:type="dxa"/>
          </w:tblCellMar>
        </w:tblPrEx>
        <w:trPr>
          <w:trHeight w:val="2719" w:hRule="exac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28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6</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校企合作</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校企合作深入，围绕专业群，搭建产教融合教学平台，共建实践教学基地，探索校企合作共建专业群的长效机制，校企共同推动专业群建设综合改革创新。</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tblPrEx>
          <w:tblLayout w:type="fixed"/>
          <w:tblCellMar>
            <w:top w:w="0" w:type="dxa"/>
            <w:left w:w="10" w:type="dxa"/>
            <w:bottom w:w="0" w:type="dxa"/>
            <w:right w:w="10" w:type="dxa"/>
          </w:tblCellMar>
        </w:tblPrEx>
        <w:trPr>
          <w:trHeight w:val="1995" w:hRule="exac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28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7</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专业群建设管理</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有运行良好的专业群建设管理机制，促进专业群整体优势发挥，有效保障专业群建设。</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tblPrEx>
          <w:tblLayout w:type="fixed"/>
          <w:tblCellMar>
            <w:top w:w="0" w:type="dxa"/>
            <w:left w:w="10" w:type="dxa"/>
            <w:bottom w:w="0" w:type="dxa"/>
            <w:right w:w="10" w:type="dxa"/>
          </w:tblCellMar>
        </w:tblPrEx>
        <w:trPr>
          <w:trHeight w:val="1711" w:hRule="atLeas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28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8</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特色与创新</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在专业群结构建设、创新专业群人才培养模式、培养专业群共享的</w:t>
            </w:r>
            <w:r>
              <w:rPr>
                <w:rFonts w:hint="eastAsia" w:ascii="仿宋_GB2312" w:hAnsi="仿宋_GB2312" w:eastAsia="仿宋_GB2312" w:cs="仿宋_GB2312"/>
                <w:b w:val="0"/>
                <w:bCs w:val="0"/>
                <w:color w:val="000000"/>
                <w:spacing w:val="0"/>
                <w:w w:val="100"/>
                <w:position w:val="0"/>
                <w:sz w:val="32"/>
                <w:szCs w:val="32"/>
                <w:lang w:val="zh-CN" w:eastAsia="zh-CN" w:bidi="zh-CN"/>
              </w:rPr>
              <w:t>“双</w:t>
            </w:r>
            <w:r>
              <w:rPr>
                <w:rFonts w:hint="eastAsia" w:ascii="仿宋_GB2312" w:hAnsi="仿宋_GB2312" w:eastAsia="仿宋_GB2312" w:cs="仿宋_GB2312"/>
                <w:b w:val="0"/>
                <w:bCs w:val="0"/>
                <w:color w:val="000000"/>
                <w:spacing w:val="0"/>
                <w:w w:val="100"/>
                <w:position w:val="0"/>
                <w:sz w:val="32"/>
                <w:szCs w:val="32"/>
              </w:rPr>
              <w:t>师型</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教学团队、建设开放共享的实训基地管理机制、开发优质共享型教学资源库、增强社会服务能力等方面有特色和创新，对同类专业群建设有推广意义。</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tblPrEx>
          <w:tblLayout w:type="fixed"/>
          <w:tblCellMar>
            <w:top w:w="0" w:type="dxa"/>
            <w:left w:w="10" w:type="dxa"/>
            <w:bottom w:w="0" w:type="dxa"/>
            <w:right w:w="10" w:type="dxa"/>
          </w:tblCellMar>
        </w:tblPrEx>
        <w:trPr>
          <w:trHeight w:val="655" w:hRule="exact"/>
          <w:jc w:val="center"/>
        </w:trPr>
        <w:tc>
          <w:tcPr>
            <w:tcW w:w="751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合计</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100</w:t>
            </w:r>
          </w:p>
        </w:tc>
      </w:tr>
    </w:tbl>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lang w:val="zh-CN" w:eastAsia="zh-CN"/>
        </w:rPr>
      </w:pPr>
      <w:r>
        <w:rPr>
          <w:rFonts w:hint="eastAsia" w:ascii="黑体" w:hAnsi="黑体" w:eastAsia="黑体" w:cs="黑体"/>
          <w:b w:val="0"/>
          <w:bCs w:val="0"/>
          <w:color w:val="000000"/>
          <w:spacing w:val="0"/>
          <w:w w:val="100"/>
          <w:position w:val="0"/>
          <w:sz w:val="32"/>
          <w:szCs w:val="32"/>
        </w:rPr>
        <w:t>附件</w:t>
      </w:r>
      <w:r>
        <w:rPr>
          <w:rFonts w:hint="eastAsia" w:ascii="黑体" w:hAnsi="黑体" w:eastAsia="黑体" w:cs="黑体"/>
          <w:b w:val="0"/>
          <w:bCs w:val="0"/>
          <w:color w:val="000000"/>
          <w:spacing w:val="0"/>
          <w:w w:val="100"/>
          <w:position w:val="0"/>
          <w:sz w:val="32"/>
          <w:szCs w:val="32"/>
          <w:lang w:val="zh-CN" w:eastAsia="zh-CN"/>
        </w:rPr>
        <w:t>2</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lang w:val="zh-CN" w:eastAsia="zh-CN"/>
        </w:rPr>
      </w:pPr>
    </w:p>
    <w:p>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b w:val="0"/>
          <w:bCs w:val="0"/>
          <w:sz w:val="44"/>
          <w:szCs w:val="44"/>
        </w:rPr>
      </w:pPr>
      <w:bookmarkStart w:id="37" w:name="bookmark66"/>
      <w:bookmarkStart w:id="38" w:name="bookmark67"/>
      <w:bookmarkStart w:id="39" w:name="bookmark65"/>
      <w:r>
        <w:rPr>
          <w:rFonts w:hint="eastAsia" w:ascii="方正小标宋简体" w:hAnsi="方正小标宋简体" w:eastAsia="方正小标宋简体" w:cs="方正小标宋简体"/>
          <w:b w:val="0"/>
          <w:bCs w:val="0"/>
          <w:color w:val="000000"/>
          <w:spacing w:val="0"/>
          <w:w w:val="100"/>
          <w:position w:val="0"/>
          <w:sz w:val="44"/>
          <w:szCs w:val="44"/>
          <w:lang w:val="zh-CN" w:eastAsia="zh-CN" w:bidi="zh-CN"/>
        </w:rPr>
        <w:t>“</w:t>
      </w:r>
      <w:r>
        <w:rPr>
          <w:rFonts w:hint="eastAsia" w:ascii="方正小标宋简体" w:hAnsi="方正小标宋简体" w:eastAsia="方正小标宋简体" w:cs="方正小标宋简体"/>
          <w:b w:val="0"/>
          <w:bCs w:val="0"/>
          <w:color w:val="000000"/>
          <w:spacing w:val="0"/>
          <w:w w:val="100"/>
          <w:position w:val="0"/>
          <w:sz w:val="44"/>
          <w:szCs w:val="44"/>
          <w:lang w:eastAsia="zh-CN" w:bidi="zh-CN"/>
        </w:rPr>
        <w:t>专业创新</w:t>
      </w:r>
      <w:r>
        <w:rPr>
          <w:rFonts w:hint="eastAsia" w:ascii="方正小标宋简体" w:hAnsi="方正小标宋简体" w:eastAsia="方正小标宋简体" w:cs="方正小标宋简体"/>
          <w:b w:val="0"/>
          <w:bCs w:val="0"/>
          <w:color w:val="000000"/>
          <w:spacing w:val="0"/>
          <w:w w:val="100"/>
          <w:position w:val="0"/>
          <w:sz w:val="44"/>
          <w:szCs w:val="44"/>
          <w:lang w:eastAsia="zh-CN"/>
        </w:rPr>
        <w:t>”</w:t>
      </w:r>
      <w:r>
        <w:rPr>
          <w:rFonts w:hint="eastAsia" w:ascii="方正小标宋简体" w:hAnsi="方正小标宋简体" w:eastAsia="方正小标宋简体" w:cs="方正小标宋简体"/>
          <w:b w:val="0"/>
          <w:bCs w:val="0"/>
          <w:color w:val="000000"/>
          <w:spacing w:val="0"/>
          <w:w w:val="100"/>
          <w:position w:val="0"/>
          <w:sz w:val="44"/>
          <w:szCs w:val="44"/>
        </w:rPr>
        <w:t>案例材料基本要求</w:t>
      </w:r>
      <w:bookmarkEnd w:id="37"/>
      <w:bookmarkEnd w:id="38"/>
      <w:bookmarkEnd w:id="39"/>
    </w:p>
    <w:p>
      <w:pPr>
        <w:pStyle w:val="11"/>
        <w:keepNext/>
        <w:keepLines/>
        <w:pageBreakBefore w:val="0"/>
        <w:widowControl w:val="0"/>
        <w:shd w:val="clear" w:color="auto" w:fill="auto"/>
        <w:kinsoku/>
        <w:wordWrap/>
        <w:overflowPunct/>
        <w:topLinePunct w:val="0"/>
        <w:autoSpaceDE/>
        <w:autoSpaceDN/>
        <w:bidi w:val="0"/>
        <w:adjustRightInd/>
        <w:snapToGrid/>
        <w:spacing w:before="181" w:beforeLines="50" w:after="181" w:afterLines="50" w:line="560" w:lineRule="exact"/>
        <w:ind w:left="0" w:leftChars="0" w:right="0" w:firstLine="0" w:firstLineChars="0"/>
        <w:jc w:val="both"/>
        <w:textAlignment w:val="auto"/>
        <w:rPr>
          <w:rFonts w:hint="eastAsia" w:ascii="黑体" w:hAnsi="黑体" w:eastAsia="黑体" w:cs="黑体"/>
          <w:b w:val="0"/>
          <w:bCs w:val="0"/>
          <w:sz w:val="32"/>
          <w:szCs w:val="32"/>
        </w:rPr>
      </w:pPr>
      <w:bookmarkStart w:id="40" w:name="bookmark68"/>
      <w:bookmarkStart w:id="41" w:name="bookmark69"/>
      <w:bookmarkStart w:id="42" w:name="bookmark70"/>
      <w:r>
        <w:rPr>
          <w:rFonts w:hint="eastAsia" w:ascii="仿宋_GB2312" w:hAnsi="仿宋_GB2312" w:eastAsia="仿宋_GB2312" w:cs="仿宋_GB2312"/>
          <w:b w:val="0"/>
          <w:bCs w:val="0"/>
          <w:color w:val="000000"/>
          <w:spacing w:val="0"/>
          <w:w w:val="100"/>
          <w:position w:val="0"/>
          <w:sz w:val="32"/>
          <w:szCs w:val="32"/>
          <w:lang w:val="en-US" w:eastAsia="zh-CN" w:bidi="en-US"/>
        </w:rPr>
        <w:t xml:space="preserve">    </w:t>
      </w:r>
      <w:r>
        <w:rPr>
          <w:rFonts w:hint="eastAsia" w:ascii="黑体" w:hAnsi="黑体" w:eastAsia="黑体" w:cs="黑体"/>
          <w:b w:val="0"/>
          <w:bCs w:val="0"/>
          <w:color w:val="000000"/>
          <w:spacing w:val="0"/>
          <w:w w:val="100"/>
          <w:position w:val="0"/>
          <w:sz w:val="32"/>
          <w:szCs w:val="32"/>
          <w:lang w:val="en-US" w:eastAsia="en-US" w:bidi="en-US"/>
        </w:rPr>
        <w:t>—</w:t>
      </w:r>
      <w:r>
        <w:rPr>
          <w:rFonts w:hint="eastAsia" w:ascii="黑体" w:hAnsi="黑体" w:eastAsia="黑体" w:cs="黑体"/>
          <w:b w:val="0"/>
          <w:bCs w:val="0"/>
          <w:color w:val="000000"/>
          <w:spacing w:val="0"/>
          <w:w w:val="100"/>
          <w:position w:val="0"/>
          <w:sz w:val="32"/>
          <w:szCs w:val="32"/>
        </w:rPr>
        <w:t>、基本内容</w:t>
      </w:r>
      <w:bookmarkEnd w:id="40"/>
      <w:bookmarkEnd w:id="41"/>
      <w:bookmarkEnd w:id="42"/>
    </w:p>
    <w:p>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rPr>
      </w:pPr>
      <w:bookmarkStart w:id="43" w:name="bookmark71"/>
      <w:bookmarkEnd w:id="43"/>
      <w:r>
        <w:rPr>
          <w:rFonts w:hint="eastAsia" w:ascii="楷体_GB2312" w:hAnsi="楷体_GB2312" w:eastAsia="楷体_GB2312" w:cs="楷体_GB2312"/>
          <w:b w:val="0"/>
          <w:bCs w:val="0"/>
          <w:color w:val="000000"/>
          <w:spacing w:val="0"/>
          <w:w w:val="100"/>
          <w:position w:val="0"/>
          <w:sz w:val="32"/>
          <w:szCs w:val="32"/>
          <w:lang w:val="en-US" w:eastAsia="zh-CN"/>
        </w:rPr>
        <w:t>（一）</w:t>
      </w:r>
      <w:r>
        <w:rPr>
          <w:rFonts w:hint="eastAsia" w:ascii="楷体_GB2312" w:hAnsi="楷体_GB2312" w:eastAsia="楷体_GB2312" w:cs="楷体_GB2312"/>
          <w:b w:val="0"/>
          <w:bCs w:val="0"/>
          <w:color w:val="000000"/>
          <w:spacing w:val="0"/>
          <w:w w:val="100"/>
          <w:position w:val="0"/>
          <w:sz w:val="32"/>
          <w:szCs w:val="32"/>
        </w:rPr>
        <w:t>专业设置依据</w:t>
      </w:r>
    </w:p>
    <w:p>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依据《职业教育专业目录（2021年）》《职业教育专业 简介（2022年）》《高等职业学校专业教学标准》中专业设置。对旅游产业现代化发展战略、产业优化升级需要以及旅游+、 数字化、智能化发展新趋势，人才需求变化等所形成的优势与特色等专业设置依据进行论述。</w:t>
      </w:r>
    </w:p>
    <w:p>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44" w:name="bookmark72"/>
      <w:bookmarkEnd w:id="44"/>
      <w:r>
        <w:rPr>
          <w:rFonts w:hint="eastAsia" w:ascii="楷体_GB2312" w:hAnsi="楷体_GB2312" w:eastAsia="楷体_GB2312" w:cs="楷体_GB2312"/>
          <w:b w:val="0"/>
          <w:bCs w:val="0"/>
          <w:color w:val="000000"/>
          <w:spacing w:val="0"/>
          <w:w w:val="100"/>
          <w:position w:val="0"/>
          <w:sz w:val="32"/>
          <w:szCs w:val="32"/>
          <w:lang w:val="en-US" w:eastAsia="zh-CN"/>
        </w:rPr>
        <w:t>（二）专业培养目标及转型</w:t>
      </w:r>
    </w:p>
    <w:p>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包括人才培养方向、专业职业能力要求、培养规格，以及围绕新业态新技术新规范对专业革新的要求和转型等。</w:t>
      </w:r>
    </w:p>
    <w:p>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45" w:name="bookmark73"/>
      <w:bookmarkEnd w:id="45"/>
      <w:r>
        <w:rPr>
          <w:rFonts w:hint="eastAsia" w:ascii="楷体_GB2312" w:hAnsi="楷体_GB2312" w:eastAsia="楷体_GB2312" w:cs="楷体_GB2312"/>
          <w:b w:val="0"/>
          <w:bCs w:val="0"/>
          <w:color w:val="000000"/>
          <w:spacing w:val="0"/>
          <w:w w:val="100"/>
          <w:position w:val="0"/>
          <w:sz w:val="32"/>
          <w:szCs w:val="32"/>
          <w:lang w:val="en-US" w:eastAsia="zh-CN"/>
        </w:rPr>
        <w:t>（三）专业课程体系改革与课程重构</w:t>
      </w:r>
    </w:p>
    <w:p>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包括专业基础课程、专业核心课程、专业选修课程、课程教学模式、</w:t>
      </w:r>
      <w:r>
        <w:rPr>
          <w:rFonts w:hint="eastAsia" w:ascii="仿宋_GB2312" w:hAnsi="仿宋_GB2312" w:eastAsia="仿宋_GB2312" w:cs="仿宋_GB2312"/>
          <w:b w:val="0"/>
          <w:bCs w:val="0"/>
          <w:color w:val="000000"/>
          <w:spacing w:val="0"/>
          <w:w w:val="100"/>
          <w:position w:val="0"/>
          <w:sz w:val="32"/>
          <w:szCs w:val="32"/>
          <w:lang w:val="zh-CN" w:eastAsia="zh-CN"/>
        </w:rPr>
        <w:t>“岗课</w:t>
      </w:r>
      <w:r>
        <w:rPr>
          <w:rFonts w:hint="eastAsia" w:ascii="仿宋_GB2312" w:hAnsi="仿宋_GB2312" w:eastAsia="仿宋_GB2312" w:cs="仿宋_GB2312"/>
          <w:b w:val="0"/>
          <w:bCs w:val="0"/>
          <w:color w:val="000000"/>
          <w:spacing w:val="0"/>
          <w:w w:val="100"/>
          <w:position w:val="0"/>
          <w:sz w:val="32"/>
          <w:szCs w:val="32"/>
        </w:rPr>
        <w:t>赛证”综合育人改革等。</w:t>
      </w:r>
    </w:p>
    <w:p>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46" w:name="bookmark74"/>
      <w:bookmarkEnd w:id="46"/>
      <w:r>
        <w:rPr>
          <w:rFonts w:hint="eastAsia" w:ascii="楷体_GB2312" w:hAnsi="楷体_GB2312" w:eastAsia="楷体_GB2312" w:cs="楷体_GB2312"/>
          <w:b w:val="0"/>
          <w:bCs w:val="0"/>
          <w:color w:val="000000"/>
          <w:spacing w:val="0"/>
          <w:w w:val="100"/>
          <w:position w:val="0"/>
          <w:sz w:val="32"/>
          <w:szCs w:val="32"/>
          <w:lang w:val="en-US" w:eastAsia="zh-CN"/>
        </w:rPr>
        <w:t>（四）专业教学改革</w:t>
      </w:r>
    </w:p>
    <w:p>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包括信息化、数字化、智能化专业教学改革，深化产教融合,校内外实训基地提升等。</w:t>
      </w:r>
    </w:p>
    <w:p>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47" w:name="bookmark75"/>
      <w:bookmarkEnd w:id="47"/>
      <w:r>
        <w:rPr>
          <w:rFonts w:hint="eastAsia" w:ascii="楷体_GB2312" w:hAnsi="楷体_GB2312" w:eastAsia="楷体_GB2312" w:cs="楷体_GB2312"/>
          <w:b w:val="0"/>
          <w:bCs w:val="0"/>
          <w:color w:val="000000"/>
          <w:spacing w:val="0"/>
          <w:w w:val="100"/>
          <w:position w:val="0"/>
          <w:sz w:val="32"/>
          <w:szCs w:val="32"/>
          <w:lang w:val="en-US" w:eastAsia="zh-CN"/>
        </w:rPr>
        <w:t>（五）专业教学团队塑造</w:t>
      </w:r>
    </w:p>
    <w:p>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包括教师的教育教学能力、数字化水平、师资</w:t>
      </w:r>
      <w:r>
        <w:rPr>
          <w:rFonts w:hint="eastAsia" w:ascii="仿宋_GB2312" w:hAnsi="仿宋_GB2312" w:eastAsia="仿宋_GB2312" w:cs="仿宋_GB2312"/>
          <w:b w:val="0"/>
          <w:bCs w:val="0"/>
          <w:color w:val="000000"/>
          <w:spacing w:val="0"/>
          <w:w w:val="100"/>
          <w:position w:val="0"/>
          <w:sz w:val="32"/>
          <w:szCs w:val="32"/>
          <w:lang w:val="en-US" w:eastAsia="zh-Hans"/>
        </w:rPr>
        <w:t>结</w:t>
      </w:r>
      <w:r>
        <w:rPr>
          <w:rFonts w:hint="eastAsia" w:ascii="仿宋_GB2312" w:hAnsi="仿宋_GB2312" w:eastAsia="仿宋_GB2312" w:cs="仿宋_GB2312"/>
          <w:b w:val="0"/>
          <w:bCs w:val="0"/>
          <w:color w:val="000000"/>
          <w:spacing w:val="0"/>
          <w:w w:val="100"/>
          <w:position w:val="0"/>
          <w:sz w:val="32"/>
          <w:szCs w:val="32"/>
        </w:rPr>
        <w:t>构等。</w:t>
      </w:r>
      <w:bookmarkStart w:id="48" w:name="bookmark78"/>
      <w:bookmarkStart w:id="49" w:name="bookmark79"/>
      <w:bookmarkStart w:id="50" w:name="bookmark77"/>
      <w:bookmarkStart w:id="51" w:name="bookmark76"/>
    </w:p>
    <w:p>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pPr>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二</w:t>
      </w:r>
      <w:bookmarkEnd w:id="48"/>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、提交材料</w:t>
      </w:r>
      <w:bookmarkEnd w:id="49"/>
      <w:bookmarkEnd w:id="50"/>
      <w:bookmarkEnd w:id="51"/>
    </w:p>
    <w:p>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52" w:name="bookmark80"/>
      <w:bookmarkEnd w:id="52"/>
      <w:r>
        <w:rPr>
          <w:rFonts w:hint="eastAsia" w:ascii="楷体_GB2312" w:hAnsi="楷体_GB2312" w:eastAsia="楷体_GB2312" w:cs="楷体_GB2312"/>
          <w:b w:val="0"/>
          <w:bCs w:val="0"/>
          <w:color w:val="000000"/>
          <w:spacing w:val="0"/>
          <w:w w:val="100"/>
          <w:position w:val="0"/>
          <w:sz w:val="32"/>
          <w:szCs w:val="32"/>
          <w:lang w:val="en-US" w:eastAsia="zh-CN"/>
        </w:rPr>
        <w:t>（一）案例介绍</w:t>
      </w:r>
      <w:r>
        <w:rPr>
          <w:rFonts w:hint="eastAsia" w:ascii="楷体_GB2312" w:hAnsi="楷体_GB2312" w:eastAsia="楷体_GB2312" w:cs="楷体_GB2312"/>
          <w:b w:val="0"/>
          <w:bCs w:val="0"/>
          <w:color w:val="000000"/>
          <w:spacing w:val="0"/>
          <w:w w:val="100"/>
          <w:position w:val="0"/>
          <w:sz w:val="32"/>
          <w:szCs w:val="32"/>
          <w:lang w:val="en-US" w:eastAsia="en-US"/>
        </w:rPr>
        <w:t>PPT</w:t>
      </w:r>
    </w:p>
    <w:p>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53" w:name="bookmark81"/>
      <w:bookmarkEnd w:id="53"/>
      <w:r>
        <w:rPr>
          <w:rFonts w:hint="eastAsia" w:ascii="楷体_GB2312" w:hAnsi="楷体_GB2312" w:eastAsia="楷体_GB2312" w:cs="楷体_GB2312"/>
          <w:b w:val="0"/>
          <w:bCs w:val="0"/>
          <w:color w:val="000000"/>
          <w:spacing w:val="0"/>
          <w:w w:val="100"/>
          <w:position w:val="0"/>
          <w:sz w:val="32"/>
          <w:szCs w:val="32"/>
          <w:lang w:val="en-US" w:eastAsia="zh-CN"/>
        </w:rPr>
        <w:t>（二）文字方案：3000字左右</w:t>
      </w:r>
    </w:p>
    <w:p>
      <w:pPr>
        <w:pStyle w:val="9"/>
        <w:keepNext w:val="0"/>
        <w:keepLines w:val="0"/>
        <w:pageBreakBefore w:val="0"/>
        <w:widowControl w:val="0"/>
        <w:shd w:val="clear" w:color="auto" w:fill="auto"/>
        <w:tabs>
          <w:tab w:val="left" w:pos="1225"/>
        </w:tabs>
        <w:kinsoku/>
        <w:wordWrap/>
        <w:overflowPunct/>
        <w:topLinePunct w:val="0"/>
        <w:autoSpaceDE/>
        <w:autoSpaceDN/>
        <w:bidi w:val="0"/>
        <w:adjustRightInd/>
        <w:snapToGrid/>
        <w:spacing w:before="181" w:beforeLines="50" w:after="181" w:afterLines="50" w:line="560" w:lineRule="exact"/>
        <w:ind w:right="0" w:firstLine="403"/>
        <w:jc w:val="left"/>
        <w:textAlignment w:val="auto"/>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pPr>
      <w:bookmarkStart w:id="54" w:name="bookmark82"/>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三</w:t>
      </w:r>
      <w:bookmarkEnd w:id="54"/>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、选用标准</w:t>
      </w:r>
    </w:p>
    <w:tbl>
      <w:tblPr>
        <w:tblStyle w:val="6"/>
        <w:tblW w:w="8367" w:type="dxa"/>
        <w:jc w:val="center"/>
        <w:tblInd w:w="0" w:type="dxa"/>
        <w:tblLayout w:type="fixed"/>
        <w:tblCellMar>
          <w:top w:w="0" w:type="dxa"/>
          <w:left w:w="10" w:type="dxa"/>
          <w:bottom w:w="0" w:type="dxa"/>
          <w:right w:w="10" w:type="dxa"/>
        </w:tblCellMar>
      </w:tblPr>
      <w:tblGrid>
        <w:gridCol w:w="776"/>
        <w:gridCol w:w="1581"/>
        <w:gridCol w:w="5238"/>
        <w:gridCol w:w="772"/>
      </w:tblGrid>
      <w:tr>
        <w:tblPrEx>
          <w:tblLayout w:type="fixed"/>
          <w:tblCellMar>
            <w:top w:w="0" w:type="dxa"/>
            <w:left w:w="10" w:type="dxa"/>
            <w:bottom w:w="0" w:type="dxa"/>
            <w:right w:w="10" w:type="dxa"/>
          </w:tblCellMar>
        </w:tblPrEx>
        <w:trPr>
          <w:trHeight w:val="512"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序号</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16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选用指标</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标准</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分值</w:t>
            </w:r>
          </w:p>
        </w:tc>
      </w:tr>
      <w:tr>
        <w:tblPrEx>
          <w:tblLayout w:type="fixed"/>
          <w:tblCellMar>
            <w:top w:w="0" w:type="dxa"/>
            <w:left w:w="10" w:type="dxa"/>
            <w:bottom w:w="0" w:type="dxa"/>
            <w:right w:w="10" w:type="dxa"/>
          </w:tblCellMar>
        </w:tblPrEx>
        <w:trPr>
          <w:trHeight w:val="3411"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28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专业设置</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基于数字化、智能化发展，专业设置紧跟数字经济时代行业、产业的变革步伐，面向区域文旅产业发展的新需求，以区域产业结构和人才需求的变化趋势作为依据，专业定位准确，专业转型等分析到位。</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32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tblPrEx>
          <w:tblLayout w:type="fixed"/>
          <w:tblCellMar>
            <w:top w:w="0" w:type="dxa"/>
            <w:left w:w="10" w:type="dxa"/>
            <w:bottom w:w="0" w:type="dxa"/>
            <w:right w:w="10" w:type="dxa"/>
          </w:tblCellMar>
        </w:tblPrEx>
        <w:trPr>
          <w:trHeight w:val="2393"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28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2</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专业人才培养目标</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根据专业的转型与定位，明确人才培养方向；依据职业标准与个体发展需求，明确具体的知识、能力结构和职业素养要求等人才培养规格。</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320" w:firstLine="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tblPrEx>
          <w:tblLayout w:type="fixed"/>
          <w:tblCellMar>
            <w:top w:w="0" w:type="dxa"/>
            <w:left w:w="10" w:type="dxa"/>
            <w:bottom w:w="0" w:type="dxa"/>
            <w:right w:w="10" w:type="dxa"/>
          </w:tblCellMar>
        </w:tblPrEx>
        <w:trPr>
          <w:trHeight w:val="2100"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28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3</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专业能力要求</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专业人才培养具备《职业教育专业简介（2022年修订）中的本专业主要专业能力要求。</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320" w:firstLine="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tblPrEx>
          <w:tblLayout w:type="fixed"/>
          <w:tblCellMar>
            <w:top w:w="0" w:type="dxa"/>
            <w:left w:w="10" w:type="dxa"/>
            <w:bottom w:w="0" w:type="dxa"/>
            <w:right w:w="10" w:type="dxa"/>
          </w:tblCellMar>
        </w:tblPrEx>
        <w:trPr>
          <w:trHeight w:val="2453"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3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bidi="zh-CN"/>
              </w:rPr>
              <w:t>4</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专业人才培养模式</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以生为本，按照以学生学习成果为导向的理念实施改革；企业深度参与专业建设和人才培养，实现校企</w:t>
            </w:r>
            <w:r>
              <w:rPr>
                <w:rFonts w:hint="eastAsia" w:ascii="仿宋_GB2312" w:hAnsi="仿宋_GB2312" w:eastAsia="仿宋_GB2312" w:cs="仿宋_GB2312"/>
                <w:b w:val="0"/>
                <w:bCs w:val="0"/>
                <w:color w:val="000000"/>
                <w:spacing w:val="0"/>
                <w:w w:val="100"/>
                <w:position w:val="0"/>
                <w:sz w:val="32"/>
                <w:szCs w:val="32"/>
                <w:lang w:val="zh-CN" w:eastAsia="zh-CN" w:bidi="zh-CN"/>
              </w:rPr>
              <w:t>“双</w:t>
            </w:r>
            <w:r>
              <w:rPr>
                <w:rFonts w:hint="eastAsia" w:ascii="仿宋_GB2312" w:hAnsi="仿宋_GB2312" w:eastAsia="仿宋_GB2312" w:cs="仿宋_GB2312"/>
                <w:b w:val="0"/>
                <w:bCs w:val="0"/>
                <w:color w:val="000000"/>
                <w:spacing w:val="0"/>
                <w:w w:val="100"/>
                <w:position w:val="0"/>
                <w:sz w:val="32"/>
                <w:szCs w:val="32"/>
              </w:rPr>
              <w:t>主体”育人。</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tblPrEx>
          <w:tblLayout w:type="fixed"/>
          <w:tblCellMar>
            <w:top w:w="0" w:type="dxa"/>
            <w:left w:w="10" w:type="dxa"/>
            <w:bottom w:w="0" w:type="dxa"/>
            <w:right w:w="10" w:type="dxa"/>
          </w:tblCellMar>
        </w:tblPrEx>
        <w:trPr>
          <w:trHeight w:val="4137"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3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bidi="zh-CN"/>
              </w:rPr>
              <w:t>5</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专业课程体系</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根据专业人才培养目标、职业岗位（群）能力新要求（包括信息化能力），明确专业基础课程、专业核心课程、专业选修课程等各课程的任务要求及其在专业课程体系中的定位；科学构建课程教学模式等；</w:t>
            </w:r>
            <w:r>
              <w:rPr>
                <w:rFonts w:hint="eastAsia" w:ascii="仿宋_GB2312" w:hAnsi="仿宋_GB2312" w:eastAsia="仿宋_GB2312" w:cs="仿宋_GB2312"/>
                <w:b w:val="0"/>
                <w:bCs w:val="0"/>
                <w:color w:val="000000"/>
                <w:spacing w:val="0"/>
                <w:w w:val="100"/>
                <w:position w:val="0"/>
                <w:sz w:val="32"/>
                <w:szCs w:val="32"/>
                <w:lang w:val="en-US" w:eastAsia="en-US" w:bidi="en-US"/>
              </w:rPr>
              <w:t>1+X</w:t>
            </w:r>
            <w:r>
              <w:rPr>
                <w:rFonts w:hint="eastAsia" w:ascii="仿宋_GB2312" w:hAnsi="仿宋_GB2312" w:eastAsia="仿宋_GB2312" w:cs="仿宋_GB2312"/>
                <w:b w:val="0"/>
                <w:bCs w:val="0"/>
                <w:color w:val="000000"/>
                <w:spacing w:val="0"/>
                <w:w w:val="100"/>
                <w:position w:val="0"/>
                <w:sz w:val="32"/>
                <w:szCs w:val="32"/>
              </w:rPr>
              <w:t>证书能较好融入专业课程体系。</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tblPrEx>
          <w:tblLayout w:type="fixed"/>
          <w:tblCellMar>
            <w:top w:w="0" w:type="dxa"/>
            <w:left w:w="10" w:type="dxa"/>
            <w:bottom w:w="0" w:type="dxa"/>
            <w:right w:w="10" w:type="dxa"/>
          </w:tblCellMar>
        </w:tblPrEx>
        <w:trPr>
          <w:trHeight w:val="3045"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bidi="zh-CN"/>
              </w:rPr>
              <w:t>6</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专业教学团队</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组建高水平、结构化专业教师教学创新团队，践行三教改革，推动课堂革命。学校和行业、企业相结合的师资建设联动机制，利用社会资源提升教师专业水平和实践能力。</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tblPrEx>
          <w:tblLayout w:type="fixed"/>
          <w:tblCellMar>
            <w:top w:w="0" w:type="dxa"/>
            <w:left w:w="10" w:type="dxa"/>
            <w:bottom w:w="0" w:type="dxa"/>
            <w:right w:w="10" w:type="dxa"/>
          </w:tblCellMar>
        </w:tblPrEx>
        <w:trPr>
          <w:trHeight w:val="2902"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bidi="zh-CN"/>
              </w:rPr>
              <w:t>7</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教学资源与课程建设</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以优质数字化资源建设为载体，以课程为主要表现形式，以素材资源为补充，利用网络学习平台建设共享型专业教学资源，开展信息化教学。</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26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tblPrEx>
          <w:tblLayout w:type="fixed"/>
          <w:tblCellMar>
            <w:top w:w="0" w:type="dxa"/>
            <w:left w:w="10" w:type="dxa"/>
            <w:bottom w:w="0" w:type="dxa"/>
            <w:right w:w="10" w:type="dxa"/>
          </w:tblCellMar>
        </w:tblPrEx>
        <w:trPr>
          <w:trHeight w:val="1695"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3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bidi="zh-CN"/>
              </w:rPr>
              <w:t>8</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专业教学改革</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rPr>
              <w:t>利用</w:t>
            </w:r>
            <w:r>
              <w:rPr>
                <w:rFonts w:hint="eastAsia" w:ascii="仿宋_GB2312" w:hAnsi="仿宋_GB2312" w:eastAsia="仿宋_GB2312" w:cs="仿宋_GB2312"/>
                <w:b w:val="0"/>
                <w:bCs w:val="0"/>
                <w:color w:val="000000"/>
                <w:spacing w:val="0"/>
                <w:w w:val="100"/>
                <w:position w:val="0"/>
                <w:sz w:val="32"/>
                <w:szCs w:val="32"/>
                <w:lang w:val="en-US" w:eastAsia="en-US" w:bidi="en-US"/>
              </w:rPr>
              <w:t>A</w:t>
            </w:r>
            <w:r>
              <w:rPr>
                <w:rFonts w:hint="eastAsia" w:ascii="仿宋_GB2312" w:hAnsi="仿宋_GB2312" w:eastAsia="仿宋_GB2312" w:cs="仿宋_GB2312"/>
                <w:b w:val="0"/>
                <w:bCs w:val="0"/>
                <w:color w:val="000000"/>
                <w:spacing w:val="0"/>
                <w:w w:val="100"/>
                <w:position w:val="0"/>
                <w:sz w:val="32"/>
                <w:szCs w:val="32"/>
                <w:lang w:val="en-US" w:eastAsia="zh-CN" w:bidi="en-US"/>
              </w:rPr>
              <w:t>I</w:t>
            </w:r>
            <w:r>
              <w:rPr>
                <w:rFonts w:hint="eastAsia" w:ascii="仿宋_GB2312" w:hAnsi="仿宋_GB2312" w:eastAsia="仿宋_GB2312" w:cs="仿宋_GB2312"/>
                <w:b w:val="0"/>
                <w:bCs w:val="0"/>
                <w:color w:val="000000"/>
                <w:spacing w:val="0"/>
                <w:w w:val="100"/>
                <w:position w:val="0"/>
                <w:sz w:val="32"/>
                <w:szCs w:val="32"/>
                <w:lang w:val="en-US" w:eastAsia="en-US" w:bidi="en-US"/>
              </w:rPr>
              <w:t>、VR、AR、MR</w:t>
            </w:r>
            <w:r>
              <w:rPr>
                <w:rFonts w:hint="eastAsia" w:ascii="仿宋_GB2312" w:hAnsi="仿宋_GB2312" w:eastAsia="仿宋_GB2312" w:cs="仿宋_GB2312"/>
                <w:b w:val="0"/>
                <w:bCs w:val="0"/>
                <w:color w:val="000000"/>
                <w:spacing w:val="0"/>
                <w:w w:val="100"/>
                <w:position w:val="0"/>
                <w:sz w:val="32"/>
                <w:szCs w:val="32"/>
              </w:rPr>
              <w:t>等新一代信息技术，创新教与学的方法；拥有高水平校内外实训实习基地；实现学校的教学过程与生产过程对接、专业教学环境与企业生产环境对接、学校文化与企业文化对接</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能进一步深化产教融合、校企合作，有效推动专业教学改革</w:t>
            </w:r>
            <w:r>
              <w:rPr>
                <w:rFonts w:hint="eastAsia" w:ascii="仿宋_GB2312" w:hAnsi="仿宋_GB2312" w:eastAsia="仿宋_GB2312" w:cs="仿宋_GB2312"/>
                <w:b w:val="0"/>
                <w:bCs w:val="0"/>
                <w:color w:val="000000"/>
                <w:spacing w:val="0"/>
                <w:w w:val="100"/>
                <w:position w:val="0"/>
                <w:sz w:val="32"/>
                <w:szCs w:val="32"/>
                <w:lang w:val="en-US" w:eastAsia="zh-CN"/>
              </w:rPr>
              <w:t>;</w:t>
            </w:r>
            <w:r>
              <w:rPr>
                <w:rFonts w:hint="eastAsia" w:ascii="仿宋_GB2312" w:hAnsi="仿宋_GB2312" w:eastAsia="仿宋_GB2312" w:cs="仿宋_GB2312"/>
                <w:b w:val="0"/>
                <w:bCs w:val="0"/>
                <w:color w:val="000000"/>
                <w:spacing w:val="0"/>
                <w:w w:val="100"/>
                <w:position w:val="0"/>
                <w:sz w:val="32"/>
                <w:szCs w:val="32"/>
              </w:rPr>
              <w:t>利用AI、大数据分析学情，实现个性化教学路径</w:t>
            </w:r>
            <w:r>
              <w:rPr>
                <w:rFonts w:hint="eastAsia" w:ascii="仿宋_GB2312" w:hAnsi="仿宋_GB2312" w:eastAsia="仿宋_GB2312" w:cs="仿宋_GB2312"/>
                <w:b w:val="0"/>
                <w:bCs w:val="0"/>
                <w:color w:val="000000"/>
                <w:spacing w:val="0"/>
                <w:w w:val="100"/>
                <w:position w:val="0"/>
                <w:sz w:val="32"/>
                <w:szCs w:val="32"/>
                <w:lang w:val="en-US" w:eastAsia="zh-CN"/>
              </w:rPr>
              <w:t>推荐。</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20</w:t>
            </w:r>
          </w:p>
        </w:tc>
      </w:tr>
      <w:tr>
        <w:tblPrEx>
          <w:tblLayout w:type="fixed"/>
          <w:tblCellMar>
            <w:top w:w="0" w:type="dxa"/>
            <w:left w:w="10" w:type="dxa"/>
            <w:bottom w:w="0" w:type="dxa"/>
            <w:right w:w="10" w:type="dxa"/>
          </w:tblCellMar>
        </w:tblPrEx>
        <w:trPr>
          <w:trHeight w:val="2258"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spacing w:val="0"/>
                <w:w w:val="100"/>
                <w:position w:val="0"/>
                <w:sz w:val="32"/>
                <w:szCs w:val="32"/>
                <w:lang w:val="en-US" w:eastAsia="zh-CN"/>
              </w:rPr>
              <w:t>9</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特色与创新</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专业特色鲜明，品牌效应明显；所形成的数字化转型模式在专业建设中可借鉴、可示范、可推广。</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1</w:t>
            </w:r>
            <w:r>
              <w:rPr>
                <w:rFonts w:hint="eastAsia" w:ascii="仿宋_GB2312" w:hAnsi="仿宋_GB2312" w:eastAsia="仿宋_GB2312" w:cs="仿宋_GB2312"/>
                <w:b w:val="0"/>
                <w:bCs w:val="0"/>
                <w:color w:val="000000"/>
                <w:spacing w:val="0"/>
                <w:w w:val="100"/>
                <w:position w:val="0"/>
                <w:sz w:val="32"/>
                <w:szCs w:val="32"/>
              </w:rPr>
              <w:t>0</w:t>
            </w:r>
          </w:p>
        </w:tc>
      </w:tr>
      <w:tr>
        <w:tblPrEx>
          <w:tblLayout w:type="fixed"/>
          <w:tblCellMar>
            <w:top w:w="0" w:type="dxa"/>
            <w:left w:w="10" w:type="dxa"/>
            <w:bottom w:w="0" w:type="dxa"/>
            <w:right w:w="10" w:type="dxa"/>
          </w:tblCellMar>
        </w:tblPrEx>
        <w:trPr>
          <w:trHeight w:val="742" w:hRule="exact"/>
          <w:jc w:val="center"/>
        </w:trPr>
        <w:tc>
          <w:tcPr>
            <w:tcW w:w="759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合计</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100</w:t>
            </w:r>
          </w:p>
        </w:tc>
      </w:tr>
    </w:tbl>
    <w:p>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sectPr>
          <w:footerReference r:id="rId3" w:type="default"/>
          <w:footnotePr>
            <w:numFmt w:val="decimal"/>
          </w:footnotePr>
          <w:pgSz w:w="11900" w:h="16840"/>
          <w:pgMar w:top="2268" w:right="1701" w:bottom="1701" w:left="1701" w:header="1048" w:footer="1247" w:gutter="0"/>
          <w:pgBorders>
            <w:top w:val="none" w:sz="0" w:space="0"/>
            <w:left w:val="none" w:sz="0" w:space="0"/>
            <w:bottom w:val="none" w:sz="0" w:space="0"/>
            <w:right w:val="none" w:sz="0" w:space="0"/>
          </w:pgBorders>
          <w:pgNumType w:fmt="decimal" w:start="1"/>
          <w:cols w:space="720" w:num="1"/>
          <w:rtlGutter w:val="0"/>
          <w:docGrid w:linePitch="360" w:charSpace="0"/>
        </w:sectPr>
      </w:pPr>
    </w:p>
    <w:p>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both"/>
        <w:textAlignment w:val="auto"/>
        <w:rPr>
          <w:rFonts w:hint="eastAsia" w:ascii="仿宋_GB2312" w:hAnsi="仿宋_GB2312" w:eastAsia="仿宋_GB2312" w:cs="仿宋_GB2312"/>
          <w:b w:val="0"/>
          <w:bCs w:val="0"/>
          <w:color w:val="000000"/>
          <w:spacing w:val="0"/>
          <w:w w:val="100"/>
          <w:position w:val="0"/>
          <w:sz w:val="32"/>
          <w:szCs w:val="32"/>
          <w:lang w:eastAsia="zh-Hans" w:bidi="zh-CN"/>
        </w:rPr>
      </w:pPr>
      <w:bookmarkStart w:id="55" w:name="bookmark84"/>
      <w:bookmarkStart w:id="56" w:name="bookmark83"/>
      <w:bookmarkStart w:id="57" w:name="bookmark85"/>
      <w:r>
        <w:rPr>
          <w:rFonts w:hint="eastAsia" w:ascii="黑体" w:hAnsi="黑体" w:eastAsia="黑体" w:cs="黑体"/>
          <w:b w:val="0"/>
          <w:bCs w:val="0"/>
          <w:color w:val="000000"/>
          <w:spacing w:val="0"/>
          <w:w w:val="100"/>
          <w:kern w:val="2"/>
          <w:position w:val="0"/>
          <w:sz w:val="32"/>
          <w:szCs w:val="32"/>
          <w:u w:val="none"/>
          <w:shd w:val="clear" w:color="auto" w:fill="auto"/>
          <w:lang w:val="en-US" w:eastAsia="zh-Hans" w:bidi="zh-TW"/>
        </w:rPr>
        <w:t>附件</w:t>
      </w:r>
      <w:r>
        <w:rPr>
          <w:rFonts w:hint="eastAsia" w:ascii="黑体" w:hAnsi="黑体" w:eastAsia="黑体" w:cs="黑体"/>
          <w:b w:val="0"/>
          <w:bCs w:val="0"/>
          <w:color w:val="000000"/>
          <w:spacing w:val="0"/>
          <w:w w:val="100"/>
          <w:kern w:val="2"/>
          <w:position w:val="0"/>
          <w:sz w:val="32"/>
          <w:szCs w:val="32"/>
          <w:u w:val="none"/>
          <w:shd w:val="clear" w:color="auto" w:fill="auto"/>
          <w:lang w:val="zh-TW" w:eastAsia="zh-Hans" w:bidi="zh-TW"/>
        </w:rPr>
        <w:t>3</w:t>
      </w:r>
      <w:r>
        <w:rPr>
          <w:rFonts w:hint="eastAsia" w:ascii="仿宋_GB2312" w:hAnsi="仿宋_GB2312" w:eastAsia="仿宋_GB2312" w:cs="仿宋_GB2312"/>
          <w:b w:val="0"/>
          <w:bCs w:val="0"/>
          <w:color w:val="000000"/>
          <w:spacing w:val="0"/>
          <w:w w:val="100"/>
          <w:position w:val="0"/>
          <w:sz w:val="32"/>
          <w:szCs w:val="32"/>
          <w:lang w:eastAsia="zh-Hans" w:bidi="zh-CN"/>
        </w:rPr>
        <w:t xml:space="preserve">  </w:t>
      </w:r>
    </w:p>
    <w:p>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both"/>
        <w:textAlignment w:val="auto"/>
        <w:rPr>
          <w:rFonts w:hint="eastAsia" w:ascii="仿宋_GB2312" w:hAnsi="仿宋_GB2312" w:eastAsia="仿宋_GB2312" w:cs="仿宋_GB2312"/>
          <w:b w:val="0"/>
          <w:bCs w:val="0"/>
          <w:color w:val="000000"/>
          <w:spacing w:val="0"/>
          <w:w w:val="100"/>
          <w:position w:val="0"/>
          <w:sz w:val="32"/>
          <w:szCs w:val="32"/>
          <w:lang w:eastAsia="zh-Hans" w:bidi="zh-CN"/>
        </w:rPr>
      </w:pPr>
      <w:r>
        <w:rPr>
          <w:rFonts w:hint="eastAsia" w:ascii="仿宋_GB2312" w:hAnsi="仿宋_GB2312" w:eastAsia="仿宋_GB2312" w:cs="仿宋_GB2312"/>
          <w:b w:val="0"/>
          <w:bCs w:val="0"/>
          <w:color w:val="000000"/>
          <w:spacing w:val="0"/>
          <w:w w:val="100"/>
          <w:position w:val="0"/>
          <w:sz w:val="32"/>
          <w:szCs w:val="32"/>
          <w:lang w:eastAsia="zh-Hans" w:bidi="zh-CN"/>
        </w:rPr>
        <w:t xml:space="preserve">     </w:t>
      </w:r>
    </w:p>
    <w:p>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方正小标宋简体" w:hAnsi="方正小标宋简体" w:eastAsia="方正小标宋简体" w:cs="方正小标宋简体"/>
          <w:b w:val="0"/>
          <w:bCs w:val="0"/>
          <w:color w:val="000000"/>
          <w:spacing w:val="0"/>
          <w:w w:val="100"/>
          <w:position w:val="0"/>
          <w:sz w:val="44"/>
          <w:szCs w:val="44"/>
        </w:rPr>
      </w:pPr>
      <w:r>
        <w:rPr>
          <w:rFonts w:hint="eastAsia" w:ascii="方正小标宋简体" w:hAnsi="方正小标宋简体" w:eastAsia="方正小标宋简体" w:cs="方正小标宋简体"/>
          <w:b w:val="0"/>
          <w:bCs w:val="0"/>
          <w:color w:val="000000"/>
          <w:spacing w:val="0"/>
          <w:w w:val="100"/>
          <w:position w:val="0"/>
          <w:sz w:val="44"/>
          <w:szCs w:val="44"/>
          <w:lang w:val="zh-CN" w:eastAsia="zh-CN" w:bidi="zh-CN"/>
        </w:rPr>
        <w:t>“</w:t>
      </w:r>
      <w:r>
        <w:rPr>
          <w:rFonts w:hint="eastAsia" w:ascii="方正小标宋简体" w:hAnsi="方正小标宋简体" w:eastAsia="方正小标宋简体" w:cs="方正小标宋简体"/>
          <w:b w:val="0"/>
          <w:bCs w:val="0"/>
          <w:color w:val="000000"/>
          <w:spacing w:val="0"/>
          <w:w w:val="100"/>
          <w:position w:val="0"/>
          <w:sz w:val="44"/>
          <w:szCs w:val="44"/>
          <w:lang w:eastAsia="zh-CN" w:bidi="zh-CN"/>
        </w:rPr>
        <w:t>课程创新</w:t>
      </w:r>
      <w:r>
        <w:rPr>
          <w:rFonts w:hint="eastAsia" w:ascii="方正小标宋简体" w:hAnsi="方正小标宋简体" w:eastAsia="方正小标宋简体" w:cs="方正小标宋简体"/>
          <w:b w:val="0"/>
          <w:bCs w:val="0"/>
          <w:color w:val="000000"/>
          <w:spacing w:val="0"/>
          <w:w w:val="100"/>
          <w:position w:val="0"/>
          <w:sz w:val="44"/>
          <w:szCs w:val="44"/>
          <w:lang w:eastAsia="zh-CN"/>
        </w:rPr>
        <w:t>”</w:t>
      </w:r>
      <w:r>
        <w:rPr>
          <w:rFonts w:hint="eastAsia" w:ascii="方正小标宋简体" w:hAnsi="方正小标宋简体" w:eastAsia="方正小标宋简体" w:cs="方正小标宋简体"/>
          <w:b w:val="0"/>
          <w:bCs w:val="0"/>
          <w:color w:val="000000"/>
          <w:spacing w:val="0"/>
          <w:w w:val="100"/>
          <w:position w:val="0"/>
          <w:sz w:val="44"/>
          <w:szCs w:val="44"/>
        </w:rPr>
        <w:t>案例材料基本要求</w:t>
      </w:r>
      <w:bookmarkEnd w:id="55"/>
      <w:bookmarkEnd w:id="56"/>
      <w:bookmarkEnd w:id="57"/>
      <w:bookmarkStart w:id="58" w:name="bookmark86"/>
      <w:bookmarkStart w:id="59" w:name="bookmark88"/>
      <w:bookmarkStart w:id="60" w:name="bookmark87"/>
    </w:p>
    <w:p>
      <w:pPr>
        <w:keepNext w:val="0"/>
        <w:keepLines w:val="0"/>
        <w:pageBreakBefore w:val="0"/>
        <w:widowControl w:val="0"/>
        <w:kinsoku/>
        <w:wordWrap/>
        <w:overflowPunct/>
        <w:topLinePunct w:val="0"/>
        <w:autoSpaceDE/>
        <w:autoSpaceDN/>
        <w:bidi w:val="0"/>
        <w:adjustRightInd/>
        <w:snapToGrid/>
        <w:spacing w:before="181" w:beforeLines="50" w:after="181" w:afterLines="50" w:line="560" w:lineRule="exact"/>
        <w:ind w:firstLine="640" w:firstLineChars="200"/>
        <w:textAlignment w:val="auto"/>
        <w:rPr>
          <w:rFonts w:hint="eastAsia" w:ascii="黑体" w:hAnsi="黑体" w:eastAsia="黑体" w:cs="黑体"/>
          <w:b w:val="0"/>
          <w:bCs w:val="0"/>
          <w:color w:val="000000"/>
          <w:spacing w:val="0"/>
          <w:w w:val="100"/>
          <w:position w:val="0"/>
          <w:sz w:val="32"/>
          <w:szCs w:val="32"/>
          <w:u w:val="none"/>
          <w:shd w:val="clear" w:color="auto" w:fill="auto"/>
          <w:lang w:val="zh-TW" w:eastAsia="zh-TW" w:bidi="zh-TW"/>
        </w:rPr>
      </w:pPr>
      <w:r>
        <w:rPr>
          <w:rFonts w:hint="eastAsia" w:ascii="黑体" w:hAnsi="黑体" w:eastAsia="黑体" w:cs="黑体"/>
          <w:b w:val="0"/>
          <w:bCs w:val="0"/>
          <w:color w:val="000000"/>
          <w:spacing w:val="0"/>
          <w:w w:val="100"/>
          <w:position w:val="0"/>
          <w:sz w:val="32"/>
          <w:szCs w:val="32"/>
          <w:u w:val="none"/>
          <w:shd w:val="clear" w:color="auto" w:fill="auto"/>
          <w:lang w:val="en-US" w:eastAsia="en-US" w:bidi="zh-TW"/>
        </w:rPr>
        <w:t>—</w:t>
      </w:r>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、基本内容</w:t>
      </w:r>
      <w:bookmarkEnd w:id="58"/>
      <w:bookmarkEnd w:id="59"/>
      <w:bookmarkEnd w:id="60"/>
    </w:p>
    <w:p>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val="0"/>
          <w:bCs w:val="0"/>
          <w:sz w:val="32"/>
          <w:szCs w:val="32"/>
        </w:rPr>
      </w:pPr>
      <w:bookmarkStart w:id="61" w:name="bookmark89"/>
      <w:bookmarkEnd w:id="61"/>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（一）</w:t>
      </w:r>
      <w:r>
        <w:rPr>
          <w:rFonts w:hint="eastAsia" w:ascii="楷体_GB2312" w:hAnsi="楷体_GB2312" w:eastAsia="楷体_GB2312" w:cs="楷体_GB2312"/>
          <w:b w:val="0"/>
          <w:bCs w:val="0"/>
          <w:color w:val="000000"/>
          <w:spacing w:val="0"/>
          <w:w w:val="100"/>
          <w:position w:val="0"/>
          <w:sz w:val="32"/>
          <w:szCs w:val="32"/>
        </w:rPr>
        <w:t>课程设置依据及其变化</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包括课程在专业体系中的地位和作用、岗位能力及其与岗位的对接性等，对接《职业教育专业简介（2022年）》和《高等职业学校专业教学</w:t>
      </w:r>
      <w:r>
        <w:rPr>
          <w:rFonts w:hint="eastAsia" w:ascii="仿宋_GB2312" w:hAnsi="仿宋_GB2312" w:eastAsia="仿宋_GB2312" w:cs="仿宋_GB2312"/>
          <w:b w:val="0"/>
          <w:bCs w:val="0"/>
          <w:color w:val="000000"/>
          <w:spacing w:val="0"/>
          <w:w w:val="100"/>
          <w:position w:val="0"/>
          <w:sz w:val="32"/>
          <w:szCs w:val="32"/>
          <w:lang w:val="zh-CN" w:eastAsia="zh-CN" w:bidi="zh-CN"/>
        </w:rPr>
        <w:t>标准》</w:t>
      </w:r>
      <w:r>
        <w:rPr>
          <w:rFonts w:hint="eastAsia" w:ascii="仿宋_GB2312" w:hAnsi="仿宋_GB2312" w:eastAsia="仿宋_GB2312" w:cs="仿宋_GB2312"/>
          <w:b w:val="0"/>
          <w:bCs w:val="0"/>
          <w:color w:val="000000"/>
          <w:spacing w:val="0"/>
          <w:w w:val="100"/>
          <w:position w:val="0"/>
          <w:sz w:val="32"/>
          <w:szCs w:val="32"/>
        </w:rPr>
        <w:t>中的相关要求。</w:t>
      </w:r>
    </w:p>
    <w:p>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rPr>
      </w:pPr>
      <w:bookmarkStart w:id="62" w:name="bookmark90"/>
      <w:bookmarkEnd w:id="62"/>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（二）</w:t>
      </w:r>
      <w:r>
        <w:rPr>
          <w:rFonts w:hint="eastAsia" w:ascii="楷体_GB2312" w:hAnsi="楷体_GB2312" w:eastAsia="楷体_GB2312" w:cs="楷体_GB2312"/>
          <w:b w:val="0"/>
          <w:bCs w:val="0"/>
          <w:color w:val="000000"/>
          <w:spacing w:val="0"/>
          <w:w w:val="100"/>
          <w:position w:val="0"/>
          <w:sz w:val="32"/>
          <w:szCs w:val="32"/>
        </w:rPr>
        <w:t>课程目标及其调整</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结合岗位专业能力需求，对提高岗位胜任力所需的包括知识、 技能、职业素养、能力标准及其调整对比等。</w:t>
      </w:r>
    </w:p>
    <w:p>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rPr>
      </w:pPr>
      <w:bookmarkStart w:id="63" w:name="bookmark91"/>
      <w:bookmarkEnd w:id="63"/>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 xml:space="preserve"> （三）</w:t>
      </w:r>
      <w:r>
        <w:rPr>
          <w:rFonts w:hint="eastAsia" w:ascii="楷体_GB2312" w:hAnsi="楷体_GB2312" w:eastAsia="楷体_GB2312" w:cs="楷体_GB2312"/>
          <w:b w:val="0"/>
          <w:bCs w:val="0"/>
          <w:color w:val="000000"/>
          <w:spacing w:val="0"/>
          <w:w w:val="100"/>
          <w:position w:val="0"/>
          <w:sz w:val="32"/>
          <w:szCs w:val="32"/>
        </w:rPr>
        <w:t>教学设计的变革</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包括教学模式、教学过程以及信息化、数字化、智能化时代的教学内容和教与学的方法等。</w:t>
      </w:r>
    </w:p>
    <w:p>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rPr>
      </w:pPr>
      <w:bookmarkStart w:id="64" w:name="bookmark92"/>
      <w:bookmarkEnd w:id="64"/>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 xml:space="preserve"> （四）</w:t>
      </w:r>
      <w:r>
        <w:rPr>
          <w:rFonts w:hint="eastAsia" w:ascii="楷体_GB2312" w:hAnsi="楷体_GB2312" w:eastAsia="楷体_GB2312" w:cs="楷体_GB2312"/>
          <w:b w:val="0"/>
          <w:bCs w:val="0"/>
          <w:color w:val="000000"/>
          <w:spacing w:val="0"/>
          <w:w w:val="100"/>
          <w:position w:val="0"/>
          <w:sz w:val="32"/>
          <w:szCs w:val="32"/>
        </w:rPr>
        <w:t>教学资源重构与应用</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课程教学环境、信息化数字教学资源建设与应用、校企共建、新业态新技术新规范在教学标准和教学内容中的体现等。</w:t>
      </w:r>
    </w:p>
    <w:p>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rPr>
      </w:pPr>
      <w:bookmarkStart w:id="65" w:name="bookmark93"/>
      <w:bookmarkEnd w:id="65"/>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 xml:space="preserve">   （五）</w:t>
      </w:r>
      <w:r>
        <w:rPr>
          <w:rFonts w:hint="eastAsia" w:ascii="楷体_GB2312" w:hAnsi="楷体_GB2312" w:eastAsia="楷体_GB2312" w:cs="楷体_GB2312"/>
          <w:b w:val="0"/>
          <w:bCs w:val="0"/>
          <w:color w:val="000000"/>
          <w:spacing w:val="0"/>
          <w:w w:val="100"/>
          <w:position w:val="0"/>
          <w:sz w:val="32"/>
          <w:szCs w:val="32"/>
        </w:rPr>
        <w:t>课程教学团队</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信息化教学能力应用与提升、模块化教学组织、教学创新等。</w:t>
      </w:r>
    </w:p>
    <w:p>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rPr>
      </w:pPr>
      <w:bookmarkStart w:id="66" w:name="bookmark94"/>
      <w:bookmarkEnd w:id="66"/>
      <w:r>
        <w:rPr>
          <w:rFonts w:hint="eastAsia" w:ascii="楷体_GB2312" w:hAnsi="楷体_GB2312" w:eastAsia="楷体_GB2312" w:cs="楷体_GB2312"/>
          <w:b w:val="0"/>
          <w:bCs w:val="0"/>
          <w:color w:val="000000"/>
          <w:spacing w:val="0"/>
          <w:w w:val="100"/>
          <w:position w:val="0"/>
          <w:sz w:val="32"/>
          <w:szCs w:val="32"/>
          <w:lang w:val="en-US" w:eastAsia="zh-CN"/>
        </w:rPr>
        <w:t xml:space="preserve">    （六）</w:t>
      </w:r>
      <w:r>
        <w:rPr>
          <w:rFonts w:hint="eastAsia" w:ascii="楷体_GB2312" w:hAnsi="楷体_GB2312" w:eastAsia="楷体_GB2312" w:cs="楷体_GB2312"/>
          <w:b w:val="0"/>
          <w:bCs w:val="0"/>
          <w:color w:val="000000"/>
          <w:spacing w:val="0"/>
          <w:w w:val="100"/>
          <w:position w:val="0"/>
          <w:sz w:val="32"/>
          <w:szCs w:val="32"/>
        </w:rPr>
        <w:t>课程应用与特色</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校内外应用、课程标准输出、</w:t>
      </w:r>
      <w:r>
        <w:rPr>
          <w:rFonts w:hint="eastAsia" w:ascii="仿宋_GB2312" w:hAnsi="仿宋_GB2312" w:eastAsia="仿宋_GB2312" w:cs="仿宋_GB2312"/>
          <w:b w:val="0"/>
          <w:bCs w:val="0"/>
          <w:color w:val="000000"/>
          <w:spacing w:val="0"/>
          <w:w w:val="100"/>
          <w:position w:val="0"/>
          <w:sz w:val="32"/>
          <w:szCs w:val="32"/>
          <w:lang w:val="en-US" w:eastAsia="en-US" w:bidi="en-US"/>
        </w:rPr>
        <w:t>1+X</w:t>
      </w:r>
      <w:r>
        <w:rPr>
          <w:rFonts w:hint="eastAsia" w:ascii="仿宋_GB2312" w:hAnsi="仿宋_GB2312" w:eastAsia="仿宋_GB2312" w:cs="仿宋_GB2312"/>
          <w:b w:val="0"/>
          <w:bCs w:val="0"/>
          <w:color w:val="000000"/>
          <w:spacing w:val="0"/>
          <w:w w:val="100"/>
          <w:position w:val="0"/>
          <w:sz w:val="32"/>
          <w:szCs w:val="32"/>
        </w:rPr>
        <w:t>职业技能等级证书融合、课程思政元素、党的二十大会议精神融入等。</w:t>
      </w:r>
      <w:bookmarkStart w:id="67" w:name="bookmark96"/>
      <w:bookmarkStart w:id="68" w:name="bookmark98"/>
      <w:bookmarkStart w:id="69" w:name="bookmark95"/>
      <w:bookmarkStart w:id="70" w:name="bookmark97"/>
    </w:p>
    <w:bookmarkEnd w:id="67"/>
    <w:bookmarkEnd w:id="68"/>
    <w:bookmarkEnd w:id="69"/>
    <w:bookmarkEnd w:id="70"/>
    <w:p>
      <w:pPr>
        <w:pStyle w:val="11"/>
        <w:keepNext/>
        <w:keepLines/>
        <w:pageBreakBefore w:val="0"/>
        <w:widowControl w:val="0"/>
        <w:shd w:val="clear" w:color="auto" w:fill="auto"/>
        <w:tabs>
          <w:tab w:val="left" w:pos="1225"/>
        </w:tabs>
        <w:kinsoku/>
        <w:wordWrap/>
        <w:overflowPunct/>
        <w:topLinePunct w:val="0"/>
        <w:autoSpaceDE/>
        <w:autoSpaceDN/>
        <w:bidi w:val="0"/>
        <w:adjustRightInd/>
        <w:snapToGrid/>
        <w:spacing w:before="181" w:beforeLines="50" w:after="181" w:afterLines="50" w:line="560" w:lineRule="exact"/>
        <w:ind w:left="0" w:leftChars="0" w:right="0" w:firstLine="0" w:firstLineChars="0"/>
        <w:jc w:val="left"/>
        <w:textAlignment w:val="auto"/>
        <w:rPr>
          <w:rFonts w:hint="eastAsia" w:ascii="黑体" w:hAnsi="黑体" w:eastAsia="黑体" w:cs="黑体"/>
          <w:b w:val="0"/>
          <w:bCs w:val="0"/>
          <w:color w:val="000000"/>
          <w:spacing w:val="0"/>
          <w:w w:val="100"/>
          <w:kern w:val="2"/>
          <w:position w:val="0"/>
          <w:sz w:val="32"/>
          <w:szCs w:val="32"/>
          <w:u w:val="none"/>
          <w:shd w:val="clear" w:color="auto" w:fill="auto"/>
          <w:lang w:val="zh-TW" w:eastAsia="zh-TW" w:bidi="zh-TW"/>
        </w:rPr>
      </w:pPr>
      <w:bookmarkStart w:id="71" w:name="bookmark101"/>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黑体" w:hAnsi="黑体" w:eastAsia="黑体" w:cs="黑体"/>
          <w:b w:val="0"/>
          <w:bCs w:val="0"/>
          <w:color w:val="000000"/>
          <w:spacing w:val="0"/>
          <w:w w:val="100"/>
          <w:kern w:val="2"/>
          <w:position w:val="0"/>
          <w:sz w:val="32"/>
          <w:szCs w:val="32"/>
          <w:u w:val="none"/>
          <w:shd w:val="clear" w:color="auto" w:fill="auto"/>
          <w:lang w:val="en-US" w:eastAsia="zh-CN" w:bidi="zh-TW"/>
        </w:rPr>
        <w:t>二、</w:t>
      </w:r>
      <w:r>
        <w:rPr>
          <w:rFonts w:hint="eastAsia" w:ascii="黑体" w:hAnsi="黑体" w:eastAsia="黑体" w:cs="黑体"/>
          <w:b w:val="0"/>
          <w:bCs w:val="0"/>
          <w:color w:val="000000"/>
          <w:spacing w:val="0"/>
          <w:w w:val="100"/>
          <w:kern w:val="2"/>
          <w:position w:val="0"/>
          <w:sz w:val="32"/>
          <w:szCs w:val="32"/>
          <w:u w:val="none"/>
          <w:shd w:val="clear" w:color="auto" w:fill="auto"/>
          <w:lang w:val="zh-TW" w:eastAsia="zh-TW" w:bidi="zh-TW"/>
        </w:rPr>
        <w:t>提交材料</w:t>
      </w:r>
    </w:p>
    <w:p>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rPr>
      </w:pPr>
      <w:r>
        <w:rPr>
          <w:rFonts w:hint="eastAsia" w:ascii="楷体_GB2312" w:hAnsi="楷体_GB2312" w:eastAsia="楷体_GB2312" w:cs="楷体_GB2312"/>
          <w:b w:val="0"/>
          <w:bCs w:val="0"/>
          <w:color w:val="000000"/>
          <w:spacing w:val="0"/>
          <w:w w:val="100"/>
          <w:position w:val="0"/>
          <w:sz w:val="32"/>
          <w:szCs w:val="32"/>
          <w:lang w:val="en-US" w:eastAsia="zh-CN"/>
        </w:rPr>
        <w:t>（一）</w:t>
      </w:r>
      <w:r>
        <w:rPr>
          <w:rFonts w:hint="eastAsia" w:ascii="楷体_GB2312" w:hAnsi="楷体_GB2312" w:eastAsia="楷体_GB2312" w:cs="楷体_GB2312"/>
          <w:b w:val="0"/>
          <w:bCs w:val="0"/>
          <w:color w:val="000000"/>
          <w:spacing w:val="0"/>
          <w:w w:val="100"/>
          <w:position w:val="0"/>
          <w:sz w:val="32"/>
          <w:szCs w:val="32"/>
        </w:rPr>
        <w:t>案例介绍</w:t>
      </w:r>
      <w:r>
        <w:rPr>
          <w:rFonts w:hint="eastAsia" w:ascii="楷体_GB2312" w:hAnsi="楷体_GB2312" w:eastAsia="楷体_GB2312" w:cs="楷体_GB2312"/>
          <w:b w:val="0"/>
          <w:bCs w:val="0"/>
          <w:color w:val="000000"/>
          <w:spacing w:val="0"/>
          <w:w w:val="100"/>
          <w:position w:val="0"/>
          <w:sz w:val="32"/>
          <w:szCs w:val="32"/>
          <w:lang w:val="en-US" w:eastAsia="en-US"/>
        </w:rPr>
        <w:t>PPT</w:t>
      </w:r>
    </w:p>
    <w:p>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rPr>
      </w:pPr>
      <w:r>
        <w:rPr>
          <w:rFonts w:hint="eastAsia" w:ascii="楷体_GB2312" w:hAnsi="楷体_GB2312" w:eastAsia="楷体_GB2312" w:cs="楷体_GB2312"/>
          <w:b w:val="0"/>
          <w:bCs w:val="0"/>
          <w:color w:val="000000"/>
          <w:spacing w:val="0"/>
          <w:w w:val="100"/>
          <w:position w:val="0"/>
          <w:sz w:val="32"/>
          <w:szCs w:val="32"/>
          <w:lang w:val="en-US" w:eastAsia="zh-CN"/>
        </w:rPr>
        <w:t>（二）</w:t>
      </w:r>
      <w:r>
        <w:rPr>
          <w:rFonts w:hint="eastAsia" w:ascii="楷体_GB2312" w:hAnsi="楷体_GB2312" w:eastAsia="楷体_GB2312" w:cs="楷体_GB2312"/>
          <w:b w:val="0"/>
          <w:bCs w:val="0"/>
          <w:color w:val="000000"/>
          <w:spacing w:val="0"/>
          <w:w w:val="100"/>
          <w:position w:val="0"/>
          <w:sz w:val="32"/>
          <w:szCs w:val="32"/>
        </w:rPr>
        <w:t>文字方案：3000字左右</w:t>
      </w:r>
    </w:p>
    <w:p>
      <w:pPr>
        <w:keepNext w:val="0"/>
        <w:keepLines w:val="0"/>
        <w:pageBreakBefore w:val="0"/>
        <w:widowControl w:val="0"/>
        <w:kinsoku/>
        <w:wordWrap/>
        <w:overflowPunct/>
        <w:topLinePunct w:val="0"/>
        <w:autoSpaceDE/>
        <w:autoSpaceDN/>
        <w:bidi w:val="0"/>
        <w:adjustRightInd/>
        <w:snapToGrid/>
        <w:spacing w:before="181" w:beforeLines="50" w:after="181" w:afterLines="50" w:line="560" w:lineRule="exact"/>
        <w:ind w:firstLine="640" w:firstLineChars="200"/>
        <w:textAlignment w:val="auto"/>
        <w:rPr>
          <w:rFonts w:hint="eastAsia" w:ascii="黑体" w:hAnsi="黑体" w:eastAsia="黑体" w:cs="黑体"/>
          <w:b w:val="0"/>
          <w:bCs w:val="0"/>
          <w:color w:val="000000"/>
          <w:spacing w:val="0"/>
          <w:w w:val="100"/>
          <w:position w:val="0"/>
          <w:sz w:val="32"/>
          <w:szCs w:val="32"/>
          <w:u w:val="none"/>
          <w:shd w:val="clear" w:color="auto" w:fill="auto"/>
          <w:lang w:val="zh-TW" w:eastAsia="zh-TW" w:bidi="zh-TW"/>
        </w:rPr>
      </w:pPr>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三</w:t>
      </w:r>
      <w:bookmarkEnd w:id="71"/>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、选用标准</w:t>
      </w:r>
    </w:p>
    <w:tbl>
      <w:tblPr>
        <w:tblStyle w:val="6"/>
        <w:tblW w:w="8192" w:type="dxa"/>
        <w:jc w:val="center"/>
        <w:tblInd w:w="0" w:type="dxa"/>
        <w:tblLayout w:type="fixed"/>
        <w:tblCellMar>
          <w:top w:w="0" w:type="dxa"/>
          <w:left w:w="10" w:type="dxa"/>
          <w:bottom w:w="0" w:type="dxa"/>
          <w:right w:w="10" w:type="dxa"/>
        </w:tblCellMar>
      </w:tblPr>
      <w:tblGrid>
        <w:gridCol w:w="664"/>
        <w:gridCol w:w="1432"/>
        <w:gridCol w:w="5265"/>
        <w:gridCol w:w="831"/>
      </w:tblGrid>
      <w:tr>
        <w:tblPrEx>
          <w:tblLayout w:type="fixed"/>
          <w:tblCellMar>
            <w:top w:w="0" w:type="dxa"/>
            <w:left w:w="10" w:type="dxa"/>
            <w:bottom w:w="0" w:type="dxa"/>
            <w:right w:w="10" w:type="dxa"/>
          </w:tblCellMar>
        </w:tblPrEx>
        <w:trPr>
          <w:trHeight w:val="579" w:hRule="exac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序号</w:t>
            </w: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选用指标</w:t>
            </w:r>
          </w:p>
        </w:tc>
        <w:tc>
          <w:tcPr>
            <w:tcW w:w="526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标准</w:t>
            </w:r>
          </w:p>
        </w:tc>
        <w:tc>
          <w:tcPr>
            <w:tcW w:w="8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分值</w:t>
            </w:r>
          </w:p>
        </w:tc>
      </w:tr>
      <w:tr>
        <w:tblPrEx>
          <w:tblLayout w:type="fixed"/>
          <w:tblCellMar>
            <w:top w:w="0" w:type="dxa"/>
            <w:left w:w="10" w:type="dxa"/>
            <w:bottom w:w="0" w:type="dxa"/>
            <w:right w:w="10" w:type="dxa"/>
          </w:tblCellMar>
        </w:tblPrEx>
        <w:trPr>
          <w:trHeight w:val="3005" w:hRule="exac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w:t>
            </w: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课程设置</w:t>
            </w:r>
          </w:p>
        </w:tc>
        <w:tc>
          <w:tcPr>
            <w:tcW w:w="526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系统分析课程设置依据，基于专业人才培养目标、相关岗位能力要求，明确本课程在课程体系中的课程性质定位和体现能力、素质课程目标定位；与纵向、横向课程衔接得当。</w:t>
            </w:r>
          </w:p>
        </w:tc>
        <w:tc>
          <w:tcPr>
            <w:tcW w:w="8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tblPrEx>
          <w:tblLayout w:type="fixed"/>
          <w:tblCellMar>
            <w:top w:w="0" w:type="dxa"/>
            <w:left w:w="10" w:type="dxa"/>
            <w:bottom w:w="0" w:type="dxa"/>
            <w:right w:w="10" w:type="dxa"/>
          </w:tblCellMar>
        </w:tblPrEx>
        <w:trPr>
          <w:trHeight w:val="1712" w:hRule="exac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2</w:t>
            </w: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课程目标</w:t>
            </w:r>
          </w:p>
        </w:tc>
        <w:tc>
          <w:tcPr>
            <w:tcW w:w="526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遵循教育规律和个体成长规律，明确本课程应该培养的知识技能、职业素养、情感态度及其培养程度和标准。</w:t>
            </w:r>
          </w:p>
        </w:tc>
        <w:tc>
          <w:tcPr>
            <w:tcW w:w="8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tblPrEx>
          <w:tblLayout w:type="fixed"/>
          <w:tblCellMar>
            <w:top w:w="0" w:type="dxa"/>
            <w:left w:w="10" w:type="dxa"/>
            <w:bottom w:w="0" w:type="dxa"/>
            <w:right w:w="10" w:type="dxa"/>
          </w:tblCellMar>
        </w:tblPrEx>
        <w:trPr>
          <w:trHeight w:val="1692"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3</w:t>
            </w: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课程内容</w:t>
            </w:r>
          </w:p>
        </w:tc>
        <w:tc>
          <w:tcPr>
            <w:tcW w:w="526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根据课程目标、数字化背景下行业企业的发展新需求和完成职业岗位实际工作任务所需知识、能力、素质要求选取课程内容；遵循职业 教育基本规律，以真实工作任务及其工作过程为依据整合、序化教学内容，科学设计学习性工作任务，教、学、做结合，理实一体化，有针对性地</w:t>
            </w:r>
            <w:r>
              <w:rPr>
                <w:rFonts w:hint="eastAsia" w:ascii="仿宋_GB2312" w:hAnsi="仿宋_GB2312" w:eastAsia="仿宋_GB2312" w:cs="仿宋_GB2312"/>
                <w:b w:val="0"/>
                <w:bCs w:val="0"/>
                <w:color w:val="000000"/>
                <w:spacing w:val="0"/>
                <w:w w:val="100"/>
                <w:position w:val="0"/>
                <w:sz w:val="32"/>
                <w:szCs w:val="32"/>
                <w:lang w:eastAsia="zh-CN"/>
              </w:rPr>
              <w:t>采</w:t>
            </w:r>
            <w:bookmarkStart w:id="82" w:name="_GoBack"/>
            <w:bookmarkEnd w:id="82"/>
            <w:r>
              <w:rPr>
                <w:rFonts w:hint="eastAsia" w:ascii="仿宋_GB2312" w:hAnsi="仿宋_GB2312" w:eastAsia="仿宋_GB2312" w:cs="仿宋_GB2312"/>
                <w:b w:val="0"/>
                <w:bCs w:val="0"/>
                <w:color w:val="000000"/>
                <w:spacing w:val="0"/>
                <w:w w:val="100"/>
                <w:position w:val="0"/>
                <w:sz w:val="32"/>
                <w:szCs w:val="32"/>
              </w:rPr>
              <w:t>取工学交替、任务驱动、项目导向等模式组织课程，将</w:t>
            </w:r>
            <w:r>
              <w:rPr>
                <w:rFonts w:hint="eastAsia" w:ascii="仿宋_GB2312" w:hAnsi="仿宋_GB2312" w:eastAsia="仿宋_GB2312" w:cs="仿宋_GB2312"/>
                <w:b w:val="0"/>
                <w:bCs w:val="0"/>
                <w:color w:val="000000"/>
                <w:spacing w:val="0"/>
                <w:w w:val="100"/>
                <w:position w:val="0"/>
                <w:sz w:val="32"/>
                <w:szCs w:val="32"/>
                <w:lang w:val="en-US" w:eastAsia="en-US"/>
              </w:rPr>
              <w:t>1+X</w:t>
            </w:r>
            <w:r>
              <w:rPr>
                <w:rFonts w:hint="eastAsia" w:ascii="仿宋_GB2312" w:hAnsi="仿宋_GB2312" w:eastAsia="仿宋_GB2312" w:cs="仿宋_GB2312"/>
                <w:b w:val="0"/>
                <w:bCs w:val="0"/>
                <w:color w:val="000000"/>
                <w:spacing w:val="0"/>
                <w:w w:val="100"/>
                <w:position w:val="0"/>
                <w:sz w:val="32"/>
                <w:szCs w:val="32"/>
              </w:rPr>
              <w:t>职业技能等级标准融入课程之中。</w:t>
            </w:r>
          </w:p>
        </w:tc>
        <w:tc>
          <w:tcPr>
            <w:tcW w:w="8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20</w:t>
            </w:r>
          </w:p>
        </w:tc>
      </w:tr>
      <w:tr>
        <w:tblPrEx>
          <w:tblLayout w:type="fixed"/>
          <w:tblCellMar>
            <w:top w:w="0" w:type="dxa"/>
            <w:left w:w="10" w:type="dxa"/>
            <w:bottom w:w="0" w:type="dxa"/>
            <w:right w:w="10" w:type="dxa"/>
          </w:tblCellMar>
        </w:tblPrEx>
        <w:trPr>
          <w:trHeight w:val="4020" w:hRule="exac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4</w:t>
            </w: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教学设计</w:t>
            </w:r>
          </w:p>
        </w:tc>
        <w:tc>
          <w:tcPr>
            <w:tcW w:w="526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根据学情分析，灵活运用分组讨论、角色扮演、启发引导，熟练使用</w:t>
            </w:r>
            <w:r>
              <w:rPr>
                <w:rFonts w:hint="eastAsia" w:ascii="仿宋_GB2312" w:hAnsi="仿宋_GB2312" w:eastAsia="仿宋_GB2312" w:cs="仿宋_GB2312"/>
                <w:b w:val="0"/>
                <w:bCs w:val="0"/>
                <w:color w:val="000000"/>
                <w:spacing w:val="0"/>
                <w:w w:val="100"/>
                <w:position w:val="0"/>
                <w:sz w:val="32"/>
                <w:szCs w:val="32"/>
                <w:lang w:eastAsia="zh-CN"/>
              </w:rPr>
              <w:t>翻转</w:t>
            </w:r>
            <w:r>
              <w:rPr>
                <w:rFonts w:hint="eastAsia" w:ascii="仿宋_GB2312" w:hAnsi="仿宋_GB2312" w:eastAsia="仿宋_GB2312" w:cs="仿宋_GB2312"/>
                <w:b w:val="0"/>
                <w:bCs w:val="0"/>
                <w:color w:val="000000"/>
                <w:spacing w:val="0"/>
                <w:w w:val="100"/>
                <w:position w:val="0"/>
                <w:sz w:val="32"/>
                <w:szCs w:val="32"/>
              </w:rPr>
              <w:t>课堂、线上线下混合式教学等方法提高教学效果；熟练运用</w:t>
            </w:r>
            <w:r>
              <w:rPr>
                <w:rFonts w:hint="eastAsia" w:ascii="仿宋_GB2312" w:hAnsi="仿宋_GB2312" w:eastAsia="仿宋_GB2312" w:cs="仿宋_GB2312"/>
                <w:b w:val="0"/>
                <w:bCs w:val="0"/>
                <w:color w:val="000000"/>
                <w:spacing w:val="0"/>
                <w:w w:val="100"/>
                <w:position w:val="0"/>
                <w:sz w:val="32"/>
                <w:szCs w:val="32"/>
                <w:lang w:val="en-US" w:eastAsia="en-US"/>
              </w:rPr>
              <w:t>A</w:t>
            </w:r>
            <w:r>
              <w:rPr>
                <w:rFonts w:hint="eastAsia" w:ascii="仿宋_GB2312" w:hAnsi="仿宋_GB2312" w:eastAsia="仿宋_GB2312" w:cs="仿宋_GB2312"/>
                <w:b w:val="0"/>
                <w:bCs w:val="0"/>
                <w:color w:val="000000"/>
                <w:spacing w:val="0"/>
                <w:w w:val="100"/>
                <w:position w:val="0"/>
                <w:sz w:val="32"/>
                <w:szCs w:val="32"/>
                <w:lang w:val="en-US" w:eastAsia="zh-CN"/>
              </w:rPr>
              <w:t>I</w:t>
            </w:r>
            <w:r>
              <w:rPr>
                <w:rFonts w:hint="eastAsia" w:ascii="仿宋_GB2312" w:hAnsi="仿宋_GB2312" w:eastAsia="仿宋_GB2312" w:cs="仿宋_GB2312"/>
                <w:b w:val="0"/>
                <w:bCs w:val="0"/>
                <w:color w:val="000000"/>
                <w:spacing w:val="0"/>
                <w:w w:val="100"/>
                <w:position w:val="0"/>
                <w:sz w:val="32"/>
                <w:szCs w:val="32"/>
                <w:lang w:val="en-US" w:eastAsia="en-US"/>
              </w:rPr>
              <w:t>、VR、AR、MR</w:t>
            </w:r>
            <w:r>
              <w:rPr>
                <w:rFonts w:hint="eastAsia" w:ascii="仿宋_GB2312" w:hAnsi="仿宋_GB2312" w:eastAsia="仿宋_GB2312" w:cs="仿宋_GB2312"/>
                <w:b w:val="0"/>
                <w:bCs w:val="0"/>
                <w:color w:val="000000"/>
                <w:spacing w:val="0"/>
                <w:w w:val="100"/>
                <w:position w:val="0"/>
                <w:sz w:val="32"/>
                <w:szCs w:val="32"/>
              </w:rPr>
              <w:t>等现代信息技术教学手段；利用教学网络平台提供丰富、共享的教学资源，将专业教育与素质教育有机结合。</w:t>
            </w:r>
          </w:p>
        </w:tc>
        <w:tc>
          <w:tcPr>
            <w:tcW w:w="8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tblPrEx>
          <w:tblLayout w:type="fixed"/>
          <w:tblCellMar>
            <w:top w:w="0" w:type="dxa"/>
            <w:left w:w="10" w:type="dxa"/>
            <w:bottom w:w="0" w:type="dxa"/>
            <w:right w:w="10" w:type="dxa"/>
          </w:tblCellMar>
        </w:tblPrEx>
        <w:trPr>
          <w:trHeight w:val="4510" w:hRule="exac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5</w:t>
            </w: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教学资源</w:t>
            </w:r>
          </w:p>
        </w:tc>
        <w:tc>
          <w:tcPr>
            <w:tcW w:w="526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支撑仿真教学、数字化实训、远程实时教学等技术的数字化硬件资源充足；多媒体课件以及动画、影音、图片等信息化软件教学资源丰富; 网络教学环境好，课程网站界面简洁、美观，浏览方便；传输通畅，运行良好</w:t>
            </w:r>
            <w:r>
              <w:rPr>
                <w:rFonts w:hint="eastAsia" w:ascii="仿宋_GB2312" w:hAnsi="仿宋_GB2312" w:eastAsia="仿宋_GB2312" w:cs="仿宋_GB2312"/>
                <w:b w:val="0"/>
                <w:bCs w:val="0"/>
                <w:color w:val="000000"/>
                <w:spacing w:val="0"/>
                <w:w w:val="100"/>
                <w:position w:val="0"/>
                <w:sz w:val="32"/>
                <w:szCs w:val="32"/>
                <w:lang w:val="en-US" w:eastAsia="zh-CN"/>
              </w:rPr>
              <w:t>；</w:t>
            </w:r>
            <w:r>
              <w:rPr>
                <w:rFonts w:hint="eastAsia" w:ascii="仿宋_GB2312" w:hAnsi="仿宋_GB2312" w:eastAsia="仿宋_GB2312" w:cs="仿宋_GB2312"/>
                <w:b w:val="0"/>
                <w:bCs w:val="0"/>
                <w:color w:val="000000"/>
                <w:spacing w:val="0"/>
                <w:w w:val="100"/>
                <w:position w:val="0"/>
                <w:sz w:val="32"/>
                <w:szCs w:val="32"/>
              </w:rPr>
              <w:t>对应岗位，将新业态、新技术、新规范纳入教学标准和教学内容。</w:t>
            </w:r>
          </w:p>
        </w:tc>
        <w:tc>
          <w:tcPr>
            <w:tcW w:w="8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tblPrEx>
          <w:tblLayout w:type="fixed"/>
          <w:tblCellMar>
            <w:top w:w="0" w:type="dxa"/>
            <w:left w:w="10" w:type="dxa"/>
            <w:bottom w:w="0" w:type="dxa"/>
            <w:right w:w="10" w:type="dxa"/>
          </w:tblCellMar>
        </w:tblPrEx>
        <w:trPr>
          <w:trHeight w:val="90"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6</w:t>
            </w: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教学团队</w:t>
            </w:r>
          </w:p>
        </w:tc>
        <w:tc>
          <w:tcPr>
            <w:tcW w:w="526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组建高水平、结构化课程教师教学团队，践行三教改革，推动课堂革命；课程教师的教育教学能力和信息化水平高，具备开发课程线上线下教学资源的能力。</w:t>
            </w:r>
          </w:p>
        </w:tc>
        <w:tc>
          <w:tcPr>
            <w:tcW w:w="8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tblPrEx>
          <w:tblLayout w:type="fixed"/>
          <w:tblCellMar>
            <w:top w:w="0" w:type="dxa"/>
            <w:left w:w="10" w:type="dxa"/>
            <w:bottom w:w="0" w:type="dxa"/>
            <w:right w:w="10" w:type="dxa"/>
          </w:tblCellMar>
        </w:tblPrEx>
        <w:trPr>
          <w:trHeight w:val="3005" w:hRule="exac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7</w:t>
            </w: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课程应用</w:t>
            </w:r>
          </w:p>
        </w:tc>
        <w:tc>
          <w:tcPr>
            <w:tcW w:w="526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课程开发与资源建设在校内外应用、课程标准对外输出并具有一定的影响力、课程能有效融入</w:t>
            </w:r>
            <w:r>
              <w:rPr>
                <w:rFonts w:hint="eastAsia" w:ascii="仿宋_GB2312" w:hAnsi="仿宋_GB2312" w:eastAsia="仿宋_GB2312" w:cs="仿宋_GB2312"/>
                <w:b w:val="0"/>
                <w:bCs w:val="0"/>
                <w:color w:val="000000"/>
                <w:spacing w:val="0"/>
                <w:w w:val="100"/>
                <w:position w:val="0"/>
                <w:sz w:val="32"/>
                <w:szCs w:val="32"/>
                <w:lang w:val="en-US" w:eastAsia="en-US"/>
              </w:rPr>
              <w:t>1+X</w:t>
            </w:r>
            <w:r>
              <w:rPr>
                <w:rFonts w:hint="eastAsia" w:ascii="仿宋_GB2312" w:hAnsi="仿宋_GB2312" w:eastAsia="仿宋_GB2312" w:cs="仿宋_GB2312"/>
                <w:b w:val="0"/>
                <w:bCs w:val="0"/>
                <w:color w:val="000000"/>
                <w:spacing w:val="0"/>
                <w:w w:val="100"/>
                <w:position w:val="0"/>
                <w:sz w:val="32"/>
                <w:szCs w:val="32"/>
              </w:rPr>
              <w:t>职业技术等级证书知识点等。</w:t>
            </w:r>
          </w:p>
        </w:tc>
        <w:tc>
          <w:tcPr>
            <w:tcW w:w="8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tblPrEx>
          <w:tblLayout w:type="fixed"/>
          <w:tblCellMar>
            <w:top w:w="0" w:type="dxa"/>
            <w:left w:w="10" w:type="dxa"/>
            <w:bottom w:w="0" w:type="dxa"/>
            <w:right w:w="10" w:type="dxa"/>
          </w:tblCellMar>
        </w:tblPrEx>
        <w:trPr>
          <w:trHeight w:val="4150" w:hRule="exac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8</w:t>
            </w: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特色创新</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与成效</w:t>
            </w:r>
          </w:p>
        </w:tc>
        <w:tc>
          <w:tcPr>
            <w:tcW w:w="526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课程设计与教学实施及评价方案符合本专业及课程特点，体现数字化、智能化经济对人才培养的新要求，特色鲜明，有一定的创新；成效显著，建有精品在线开放课资源、优秀教学团队、教学资源库等；有机融入思想政治教育元素，落实课程思政要求。</w:t>
            </w:r>
          </w:p>
        </w:tc>
        <w:tc>
          <w:tcPr>
            <w:tcW w:w="8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tblPrEx>
          <w:tblLayout w:type="fixed"/>
          <w:tblCellMar>
            <w:top w:w="0" w:type="dxa"/>
            <w:left w:w="10" w:type="dxa"/>
            <w:bottom w:w="0" w:type="dxa"/>
            <w:right w:w="10" w:type="dxa"/>
          </w:tblCellMar>
        </w:tblPrEx>
        <w:trPr>
          <w:trHeight w:val="588" w:hRule="exact"/>
          <w:jc w:val="center"/>
        </w:trPr>
        <w:tc>
          <w:tcPr>
            <w:tcW w:w="736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合计</w:t>
            </w:r>
          </w:p>
        </w:tc>
        <w:tc>
          <w:tcPr>
            <w:tcW w:w="8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100</w:t>
            </w:r>
          </w:p>
        </w:tc>
      </w:tr>
    </w:tbl>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t>附件4</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b w:val="0"/>
          <w:bCs w:val="0"/>
          <w:sz w:val="44"/>
          <w:szCs w:val="44"/>
        </w:rPr>
      </w:pPr>
      <w:bookmarkStart w:id="72" w:name="bookmark103"/>
      <w:bookmarkStart w:id="73" w:name="bookmark102"/>
      <w:bookmarkStart w:id="74" w:name="bookmark104"/>
      <w:r>
        <w:rPr>
          <w:rFonts w:hint="eastAsia" w:ascii="方正小标宋简体" w:hAnsi="方正小标宋简体" w:eastAsia="方正小标宋简体" w:cs="方正小标宋简体"/>
          <w:b w:val="0"/>
          <w:bCs w:val="0"/>
          <w:color w:val="000000"/>
          <w:spacing w:val="0"/>
          <w:w w:val="100"/>
          <w:position w:val="0"/>
          <w:sz w:val="44"/>
          <w:szCs w:val="44"/>
          <w:lang w:val="zh-CN" w:eastAsia="zh-CN" w:bidi="zh-CN"/>
        </w:rPr>
        <w:t>“</w:t>
      </w:r>
      <w:r>
        <w:rPr>
          <w:rFonts w:hint="eastAsia" w:ascii="方正小标宋简体" w:hAnsi="方正小标宋简体" w:eastAsia="方正小标宋简体" w:cs="方正小标宋简体"/>
          <w:b w:val="0"/>
          <w:bCs w:val="0"/>
          <w:color w:val="000000"/>
          <w:spacing w:val="0"/>
          <w:w w:val="100"/>
          <w:position w:val="0"/>
          <w:sz w:val="44"/>
          <w:szCs w:val="44"/>
          <w:lang w:eastAsia="zh-CN" w:bidi="zh-CN"/>
        </w:rPr>
        <w:t>场景创新</w:t>
      </w:r>
      <w:r>
        <w:rPr>
          <w:rFonts w:hint="eastAsia" w:ascii="方正小标宋简体" w:hAnsi="方正小标宋简体" w:eastAsia="方正小标宋简体" w:cs="方正小标宋简体"/>
          <w:b w:val="0"/>
          <w:bCs w:val="0"/>
          <w:color w:val="000000"/>
          <w:spacing w:val="0"/>
          <w:w w:val="100"/>
          <w:position w:val="0"/>
          <w:sz w:val="44"/>
          <w:szCs w:val="44"/>
        </w:rPr>
        <w:t>”案例材料基本要求</w:t>
      </w:r>
    </w:p>
    <w:p>
      <w:pPr>
        <w:pStyle w:val="13"/>
        <w:keepNext/>
        <w:keepLines/>
        <w:pageBreakBefore w:val="0"/>
        <w:widowControl w:val="0"/>
        <w:shd w:val="clear" w:color="auto" w:fill="auto"/>
        <w:kinsoku/>
        <w:wordWrap/>
        <w:overflowPunct/>
        <w:topLinePunct w:val="0"/>
        <w:autoSpaceDE/>
        <w:autoSpaceDN/>
        <w:bidi w:val="0"/>
        <w:adjustRightInd/>
        <w:snapToGrid/>
        <w:spacing w:before="181" w:beforeLines="50" w:after="181" w:afterLines="5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bidi="en-US"/>
        </w:rPr>
        <w:t xml:space="preserve">    </w:t>
      </w:r>
      <w:r>
        <w:rPr>
          <w:rFonts w:hint="eastAsia" w:ascii="黑体" w:hAnsi="黑体" w:eastAsia="黑体" w:cs="黑体"/>
          <w:b w:val="0"/>
          <w:bCs w:val="0"/>
          <w:color w:val="000000"/>
          <w:spacing w:val="0"/>
          <w:w w:val="100"/>
          <w:position w:val="0"/>
          <w:sz w:val="32"/>
          <w:szCs w:val="32"/>
          <w:lang w:val="en-US" w:eastAsia="en-US" w:bidi="en-US"/>
        </w:rPr>
        <w:t>—</w:t>
      </w:r>
      <w:r>
        <w:rPr>
          <w:rFonts w:hint="eastAsia" w:ascii="黑体" w:hAnsi="黑体" w:eastAsia="黑体" w:cs="黑体"/>
          <w:b w:val="0"/>
          <w:bCs w:val="0"/>
          <w:color w:val="000000"/>
          <w:spacing w:val="0"/>
          <w:w w:val="100"/>
          <w:position w:val="0"/>
          <w:sz w:val="32"/>
          <w:szCs w:val="32"/>
        </w:rPr>
        <w:t>、基本内容</w:t>
      </w:r>
    </w:p>
    <w:p>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eastAsia="zh-CN"/>
        </w:rPr>
      </w:pPr>
      <w:r>
        <w:rPr>
          <w:rFonts w:hint="eastAsia" w:ascii="楷体_GB2312" w:hAnsi="楷体_GB2312" w:eastAsia="楷体_GB2312" w:cs="楷体_GB2312"/>
          <w:b w:val="0"/>
          <w:bCs w:val="0"/>
          <w:color w:val="000000"/>
          <w:spacing w:val="0"/>
          <w:w w:val="100"/>
          <w:position w:val="0"/>
          <w:sz w:val="32"/>
          <w:szCs w:val="32"/>
          <w:lang w:eastAsia="zh-CN"/>
        </w:rPr>
        <w:t>（一）场景设计</w:t>
      </w:r>
    </w:p>
    <w:p>
      <w:pPr>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主要包括新时代职教理念、产业发展要求、行业职业标准、教学目标、学情分析等场景设计依据。</w:t>
      </w:r>
    </w:p>
    <w:p>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eastAsia="zh-CN"/>
        </w:rPr>
      </w:pPr>
      <w:r>
        <w:rPr>
          <w:rFonts w:hint="eastAsia" w:ascii="楷体_GB2312" w:hAnsi="楷体_GB2312" w:eastAsia="楷体_GB2312" w:cs="楷体_GB2312"/>
          <w:b w:val="0"/>
          <w:bCs w:val="0"/>
          <w:color w:val="000000"/>
          <w:spacing w:val="0"/>
          <w:w w:val="100"/>
          <w:position w:val="0"/>
          <w:sz w:val="32"/>
          <w:szCs w:val="32"/>
          <w:lang w:eastAsia="zh-CN"/>
        </w:rPr>
        <w:t>（二）场景搭建</w:t>
      </w:r>
    </w:p>
    <w:p>
      <w:pPr>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主要包括场景整体布局、场景区域设计、场景功能划分、教学资源分配、教学工具使用等方面，注重考量教学场景搭建的实用性、层次性与衔接性。</w:t>
      </w:r>
    </w:p>
    <w:p>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eastAsia="zh-CN"/>
        </w:rPr>
      </w:pPr>
      <w:r>
        <w:rPr>
          <w:rFonts w:hint="eastAsia" w:ascii="楷体_GB2312" w:hAnsi="楷体_GB2312" w:eastAsia="楷体_GB2312" w:cs="楷体_GB2312"/>
          <w:b w:val="0"/>
          <w:bCs w:val="0"/>
          <w:color w:val="000000"/>
          <w:spacing w:val="0"/>
          <w:w w:val="100"/>
          <w:position w:val="0"/>
          <w:sz w:val="32"/>
          <w:szCs w:val="32"/>
          <w:lang w:eastAsia="zh-CN"/>
        </w:rPr>
        <w:t>（三）场景运用</w:t>
      </w:r>
    </w:p>
    <w:p>
      <w:pPr>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主要包括充分展现和发挥教学场景功能的教学策略、教学方法和教学手段。</w:t>
      </w:r>
    </w:p>
    <w:p>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eastAsia="zh-CN"/>
        </w:rPr>
      </w:pPr>
      <w:r>
        <w:rPr>
          <w:rFonts w:hint="eastAsia" w:ascii="楷体_GB2312" w:hAnsi="楷体_GB2312" w:eastAsia="楷体_GB2312" w:cs="楷体_GB2312"/>
          <w:b w:val="0"/>
          <w:bCs w:val="0"/>
          <w:color w:val="000000"/>
          <w:spacing w:val="0"/>
          <w:w w:val="100"/>
          <w:position w:val="0"/>
          <w:sz w:val="32"/>
          <w:szCs w:val="32"/>
          <w:lang w:eastAsia="zh-CN"/>
        </w:rPr>
        <w:t>（四）特色与创新</w:t>
      </w:r>
    </w:p>
    <w:p>
      <w:pPr>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主要包括场景教学中针对学科特征和产业前沿进行的智能化、数字化和人性化的创新与改进。</w:t>
      </w:r>
    </w:p>
    <w:p>
      <w:pPr>
        <w:pStyle w:val="11"/>
        <w:keepNext/>
        <w:keepLines/>
        <w:pageBreakBefore w:val="0"/>
        <w:widowControl w:val="0"/>
        <w:shd w:val="clear" w:color="auto" w:fill="auto"/>
        <w:tabs>
          <w:tab w:val="left" w:pos="1225"/>
        </w:tabs>
        <w:kinsoku/>
        <w:wordWrap/>
        <w:overflowPunct/>
        <w:topLinePunct w:val="0"/>
        <w:autoSpaceDE/>
        <w:autoSpaceDN/>
        <w:bidi w:val="0"/>
        <w:adjustRightInd/>
        <w:snapToGrid/>
        <w:spacing w:before="181" w:beforeLines="50" w:after="181" w:afterLines="50" w:line="560" w:lineRule="exact"/>
        <w:ind w:left="0" w:leftChars="0" w:right="0" w:firstLine="0" w:firstLineChars="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二、提交材料</w:t>
      </w:r>
    </w:p>
    <w:p>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eastAsia="zh-CN"/>
        </w:rPr>
      </w:pPr>
      <w:r>
        <w:rPr>
          <w:rFonts w:hint="eastAsia" w:ascii="楷体_GB2312" w:hAnsi="楷体_GB2312" w:eastAsia="楷体_GB2312" w:cs="楷体_GB2312"/>
          <w:b w:val="0"/>
          <w:bCs w:val="0"/>
          <w:color w:val="000000"/>
          <w:spacing w:val="0"/>
          <w:w w:val="100"/>
          <w:position w:val="0"/>
          <w:sz w:val="32"/>
          <w:szCs w:val="32"/>
          <w:lang w:val="en-US" w:eastAsia="zh-CN"/>
        </w:rPr>
        <w:t>（一）</w:t>
      </w:r>
      <w:r>
        <w:rPr>
          <w:rFonts w:hint="eastAsia" w:ascii="楷体_GB2312" w:hAnsi="楷体_GB2312" w:eastAsia="楷体_GB2312" w:cs="楷体_GB2312"/>
          <w:b w:val="0"/>
          <w:bCs w:val="0"/>
          <w:color w:val="000000"/>
          <w:spacing w:val="0"/>
          <w:w w:val="100"/>
          <w:position w:val="0"/>
          <w:sz w:val="32"/>
          <w:szCs w:val="32"/>
          <w:lang w:eastAsia="zh-CN"/>
        </w:rPr>
        <w:t>案例介绍</w:t>
      </w:r>
      <w:r>
        <w:rPr>
          <w:rFonts w:hint="eastAsia" w:ascii="楷体_GB2312" w:hAnsi="楷体_GB2312" w:eastAsia="楷体_GB2312" w:cs="楷体_GB2312"/>
          <w:b w:val="0"/>
          <w:bCs w:val="0"/>
          <w:color w:val="000000"/>
          <w:spacing w:val="0"/>
          <w:w w:val="100"/>
          <w:position w:val="0"/>
          <w:sz w:val="32"/>
          <w:szCs w:val="32"/>
          <w:lang w:val="en-US" w:eastAsia="en-US"/>
        </w:rPr>
        <w:t>PPT</w:t>
      </w:r>
    </w:p>
    <w:p>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eastAsia="zh-CN"/>
        </w:rPr>
      </w:pPr>
      <w:r>
        <w:rPr>
          <w:rFonts w:hint="eastAsia" w:ascii="楷体_GB2312" w:hAnsi="楷体_GB2312" w:eastAsia="楷体_GB2312" w:cs="楷体_GB2312"/>
          <w:b w:val="0"/>
          <w:bCs w:val="0"/>
          <w:color w:val="000000"/>
          <w:spacing w:val="0"/>
          <w:w w:val="100"/>
          <w:position w:val="0"/>
          <w:sz w:val="32"/>
          <w:szCs w:val="32"/>
          <w:lang w:val="en-US" w:eastAsia="zh-CN"/>
        </w:rPr>
        <w:t>（二）</w:t>
      </w:r>
      <w:r>
        <w:rPr>
          <w:rFonts w:hint="eastAsia" w:ascii="楷体_GB2312" w:hAnsi="楷体_GB2312" w:eastAsia="楷体_GB2312" w:cs="楷体_GB2312"/>
          <w:b w:val="0"/>
          <w:bCs w:val="0"/>
          <w:color w:val="000000"/>
          <w:spacing w:val="0"/>
          <w:w w:val="100"/>
          <w:position w:val="0"/>
          <w:sz w:val="32"/>
          <w:szCs w:val="32"/>
          <w:lang w:eastAsia="zh-CN"/>
        </w:rPr>
        <w:t>文字方案：3000字左右</w:t>
      </w:r>
    </w:p>
    <w:p>
      <w:pPr>
        <w:pStyle w:val="9"/>
        <w:keepNext w:val="0"/>
        <w:keepLines w:val="0"/>
        <w:pageBreakBefore w:val="0"/>
        <w:widowControl w:val="0"/>
        <w:shd w:val="clear" w:color="auto" w:fill="auto"/>
        <w:tabs>
          <w:tab w:val="left" w:pos="1245"/>
        </w:tabs>
        <w:kinsoku/>
        <w:wordWrap/>
        <w:overflowPunct/>
        <w:topLinePunct w:val="0"/>
        <w:autoSpaceDE/>
        <w:autoSpaceDN/>
        <w:bidi w:val="0"/>
        <w:adjustRightInd/>
        <w:snapToGrid/>
        <w:spacing w:before="181" w:beforeLines="50" w:after="181" w:afterLines="50" w:line="560" w:lineRule="exact"/>
        <w:ind w:right="0" w:firstLine="403"/>
        <w:jc w:val="left"/>
        <w:textAlignment w:val="auto"/>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三、选用标准</w:t>
      </w:r>
    </w:p>
    <w:tbl>
      <w:tblPr>
        <w:tblStyle w:val="6"/>
        <w:tblW w:w="8216" w:type="dxa"/>
        <w:jc w:val="center"/>
        <w:tblInd w:w="0" w:type="dxa"/>
        <w:tblLayout w:type="fixed"/>
        <w:tblCellMar>
          <w:top w:w="0" w:type="dxa"/>
          <w:left w:w="10" w:type="dxa"/>
          <w:bottom w:w="0" w:type="dxa"/>
          <w:right w:w="10" w:type="dxa"/>
        </w:tblCellMar>
      </w:tblPr>
      <w:tblGrid>
        <w:gridCol w:w="732"/>
        <w:gridCol w:w="1433"/>
        <w:gridCol w:w="5094"/>
        <w:gridCol w:w="957"/>
      </w:tblGrid>
      <w:tr>
        <w:tblPrEx>
          <w:tblLayout w:type="fixed"/>
          <w:tblCellMar>
            <w:top w:w="0" w:type="dxa"/>
            <w:left w:w="10" w:type="dxa"/>
            <w:bottom w:w="0" w:type="dxa"/>
            <w:right w:w="10" w:type="dxa"/>
          </w:tblCellMar>
        </w:tblPrEx>
        <w:trPr>
          <w:trHeight w:val="814" w:hRule="exact"/>
          <w:jc w:val="center"/>
        </w:trPr>
        <w:tc>
          <w:tcPr>
            <w:tcW w:w="7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序号</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评审指标</w:t>
            </w:r>
          </w:p>
        </w:tc>
        <w:tc>
          <w:tcPr>
            <w:tcW w:w="509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标准</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分值</w:t>
            </w:r>
          </w:p>
        </w:tc>
      </w:tr>
      <w:tr>
        <w:tblPrEx>
          <w:tblLayout w:type="fixed"/>
          <w:tblCellMar>
            <w:top w:w="0" w:type="dxa"/>
            <w:left w:w="10" w:type="dxa"/>
            <w:bottom w:w="0" w:type="dxa"/>
            <w:right w:w="10" w:type="dxa"/>
          </w:tblCellMar>
        </w:tblPrEx>
        <w:trPr>
          <w:trHeight w:val="3872" w:hRule="exact"/>
          <w:jc w:val="center"/>
        </w:trPr>
        <w:tc>
          <w:tcPr>
            <w:tcW w:w="7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场景设计</w:t>
            </w:r>
          </w:p>
        </w:tc>
        <w:tc>
          <w:tcPr>
            <w:tcW w:w="509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明确人才培养对接职业的岗位及核心能力要求，基于教学目标设计场景，逻辑清晰、关联度高、操作性强，具有明确的工作过程导向，遵循学生职业能力培养的基本规律，能对学生核心能力培养起到主要支撑或明显促进作用。</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w:t>
            </w:r>
          </w:p>
        </w:tc>
      </w:tr>
      <w:tr>
        <w:tblPrEx>
          <w:tblLayout w:type="fixed"/>
          <w:tblCellMar>
            <w:top w:w="0" w:type="dxa"/>
            <w:left w:w="10" w:type="dxa"/>
            <w:bottom w:w="0" w:type="dxa"/>
            <w:right w:w="10" w:type="dxa"/>
          </w:tblCellMar>
        </w:tblPrEx>
        <w:trPr>
          <w:trHeight w:val="4028" w:hRule="exact"/>
          <w:jc w:val="center"/>
        </w:trPr>
        <w:tc>
          <w:tcPr>
            <w:tcW w:w="7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场景搭建</w:t>
            </w:r>
          </w:p>
        </w:tc>
        <w:tc>
          <w:tcPr>
            <w:tcW w:w="509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与行业企业合作进行场景搭建，能营造真实（仿真）的职业工作场景，氛围感强，场景整体布局合理，场景区域设计科学，场景功能划分清晰，能合理分配教学资源、教学工具，注重考量教学场景搭建的实用性、层次性与衔接性。</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30</w:t>
            </w:r>
          </w:p>
        </w:tc>
      </w:tr>
      <w:tr>
        <w:tblPrEx>
          <w:tblLayout w:type="fixed"/>
          <w:tblCellMar>
            <w:top w:w="0" w:type="dxa"/>
            <w:left w:w="10" w:type="dxa"/>
            <w:bottom w:w="0" w:type="dxa"/>
            <w:right w:w="10" w:type="dxa"/>
          </w:tblCellMar>
        </w:tblPrEx>
        <w:trPr>
          <w:trHeight w:val="583"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场景运用</w:t>
            </w:r>
          </w:p>
        </w:tc>
        <w:tc>
          <w:tcPr>
            <w:tcW w:w="509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教育教学内容和学生特点，采取有效的教学策略，综合运用工学交替、任务驱动、项目导向、虚拟仿真等教学方法，采取智能化、数字化、人性化等教学手段，巧妙融入课程思政教育，学生兴趣浓厚，教学环节紧凑、连贯、层次清晰，时间分配合理，教学效果良好。</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30</w:t>
            </w:r>
          </w:p>
        </w:tc>
      </w:tr>
      <w:tr>
        <w:tblPrEx>
          <w:tblLayout w:type="fixed"/>
          <w:tblCellMar>
            <w:top w:w="0" w:type="dxa"/>
            <w:left w:w="10" w:type="dxa"/>
            <w:bottom w:w="0" w:type="dxa"/>
            <w:right w:w="10" w:type="dxa"/>
          </w:tblCellMar>
        </w:tblPrEx>
        <w:trPr>
          <w:trHeight w:val="3995" w:hRule="exact"/>
          <w:jc w:val="center"/>
        </w:trPr>
        <w:tc>
          <w:tcPr>
            <w:tcW w:w="7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特色与创新</w:t>
            </w:r>
          </w:p>
        </w:tc>
        <w:tc>
          <w:tcPr>
            <w:tcW w:w="509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有一定的前沿性和突破性，体现行业发展趋势和专业教学改革的方向，融入智能交互、数据可视化、远程协作等数字技术元素，有突出的综合育人效果和教育教学领域的独创性成果，对同类课程建设具有积极引导意义和实际借鉴作用。</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w:t>
            </w:r>
          </w:p>
        </w:tc>
      </w:tr>
      <w:tr>
        <w:tblPrEx>
          <w:tblLayout w:type="fixed"/>
          <w:tblCellMar>
            <w:top w:w="0" w:type="dxa"/>
            <w:left w:w="10" w:type="dxa"/>
            <w:bottom w:w="0" w:type="dxa"/>
            <w:right w:w="10" w:type="dxa"/>
          </w:tblCellMar>
        </w:tblPrEx>
        <w:trPr>
          <w:trHeight w:val="716" w:hRule="exact"/>
          <w:jc w:val="center"/>
        </w:trPr>
        <w:tc>
          <w:tcPr>
            <w:tcW w:w="72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lang w:val="en-US" w:eastAsia="zh-Hans"/>
              </w:rPr>
            </w:pPr>
            <w:r>
              <w:rPr>
                <w:rFonts w:hint="eastAsia" w:ascii="仿宋_GB2312" w:hAnsi="仿宋_GB2312" w:eastAsia="仿宋_GB2312" w:cs="仿宋_GB2312"/>
                <w:b w:val="0"/>
                <w:bCs w:val="0"/>
                <w:sz w:val="32"/>
                <w:szCs w:val="32"/>
                <w:lang w:val="en-US" w:eastAsia="zh-Hans"/>
              </w:rPr>
              <w:t>合计</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24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100</w:t>
            </w:r>
          </w:p>
        </w:tc>
      </w:tr>
    </w:tbl>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p>
    <w:p>
      <w:pPr>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t>附件5</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spacing w:val="0"/>
          <w:w w:val="100"/>
          <w:position w:val="0"/>
          <w:sz w:val="44"/>
          <w:szCs w:val="44"/>
          <w:lang w:val="zh-CN" w:eastAsia="zh-CN" w:bidi="zh-CN"/>
        </w:rPr>
        <w:t>“</w:t>
      </w:r>
      <w:r>
        <w:rPr>
          <w:rFonts w:hint="eastAsia" w:ascii="方正小标宋简体" w:hAnsi="方正小标宋简体" w:eastAsia="方正小标宋简体" w:cs="方正小标宋简体"/>
          <w:b w:val="0"/>
          <w:bCs w:val="0"/>
          <w:color w:val="000000"/>
          <w:spacing w:val="0"/>
          <w:w w:val="100"/>
          <w:position w:val="0"/>
          <w:sz w:val="44"/>
          <w:szCs w:val="44"/>
          <w:lang w:eastAsia="zh-CN" w:bidi="zh-CN"/>
        </w:rPr>
        <w:t>教材创新</w:t>
      </w:r>
      <w:r>
        <w:rPr>
          <w:rFonts w:hint="eastAsia" w:ascii="方正小标宋简体" w:hAnsi="方正小标宋简体" w:eastAsia="方正小标宋简体" w:cs="方正小标宋简体"/>
          <w:b w:val="0"/>
          <w:bCs w:val="0"/>
          <w:color w:val="000000"/>
          <w:spacing w:val="0"/>
          <w:w w:val="100"/>
          <w:position w:val="0"/>
          <w:sz w:val="44"/>
          <w:szCs w:val="44"/>
        </w:rPr>
        <w:t>”案例材料基本要求</w:t>
      </w:r>
      <w:bookmarkEnd w:id="72"/>
      <w:bookmarkEnd w:id="73"/>
      <w:bookmarkEnd w:id="74"/>
    </w:p>
    <w:p>
      <w:pPr>
        <w:pStyle w:val="13"/>
        <w:keepNext/>
        <w:keepLines/>
        <w:pageBreakBefore w:val="0"/>
        <w:widowControl w:val="0"/>
        <w:shd w:val="clear" w:color="auto" w:fill="auto"/>
        <w:kinsoku/>
        <w:wordWrap/>
        <w:overflowPunct/>
        <w:topLinePunct w:val="0"/>
        <w:autoSpaceDE/>
        <w:autoSpaceDN/>
        <w:bidi w:val="0"/>
        <w:adjustRightInd/>
        <w:snapToGrid/>
        <w:spacing w:before="181" w:beforeLines="50" w:after="181" w:afterLines="50" w:line="560" w:lineRule="exact"/>
        <w:ind w:left="0" w:leftChars="0" w:right="0" w:firstLine="0" w:firstLineChars="0"/>
        <w:jc w:val="both"/>
        <w:textAlignment w:val="auto"/>
        <w:rPr>
          <w:rFonts w:hint="eastAsia" w:ascii="黑体" w:hAnsi="黑体" w:eastAsia="黑体" w:cs="黑体"/>
          <w:b w:val="0"/>
          <w:bCs w:val="0"/>
          <w:sz w:val="32"/>
          <w:szCs w:val="32"/>
        </w:rPr>
      </w:pPr>
      <w:bookmarkStart w:id="75" w:name="bookmark106"/>
      <w:bookmarkStart w:id="76" w:name="bookmark105"/>
      <w:bookmarkStart w:id="77" w:name="bookmark107"/>
      <w:r>
        <w:rPr>
          <w:rFonts w:hint="eastAsia" w:ascii="仿宋_GB2312" w:hAnsi="仿宋_GB2312" w:eastAsia="仿宋_GB2312" w:cs="仿宋_GB2312"/>
          <w:b w:val="0"/>
          <w:bCs w:val="0"/>
          <w:color w:val="000000"/>
          <w:spacing w:val="0"/>
          <w:w w:val="100"/>
          <w:position w:val="0"/>
          <w:sz w:val="32"/>
          <w:szCs w:val="32"/>
          <w:lang w:val="en-US" w:eastAsia="zh-CN" w:bidi="en-US"/>
        </w:rPr>
        <w:t xml:space="preserve">    </w:t>
      </w:r>
      <w:r>
        <w:rPr>
          <w:rFonts w:hint="eastAsia" w:ascii="黑体" w:hAnsi="黑体" w:eastAsia="黑体" w:cs="黑体"/>
          <w:b w:val="0"/>
          <w:bCs w:val="0"/>
          <w:color w:val="000000"/>
          <w:spacing w:val="0"/>
          <w:w w:val="100"/>
          <w:position w:val="0"/>
          <w:sz w:val="32"/>
          <w:szCs w:val="32"/>
          <w:lang w:val="en-US" w:eastAsia="en-US" w:bidi="en-US"/>
        </w:rPr>
        <w:t>—</w:t>
      </w:r>
      <w:r>
        <w:rPr>
          <w:rFonts w:hint="eastAsia" w:ascii="黑体" w:hAnsi="黑体" w:eastAsia="黑体" w:cs="黑体"/>
          <w:b w:val="0"/>
          <w:bCs w:val="0"/>
          <w:color w:val="000000"/>
          <w:spacing w:val="0"/>
          <w:w w:val="100"/>
          <w:position w:val="0"/>
          <w:sz w:val="32"/>
          <w:szCs w:val="32"/>
        </w:rPr>
        <w:t>、基本内容</w:t>
      </w:r>
      <w:bookmarkEnd w:id="75"/>
      <w:bookmarkEnd w:id="76"/>
      <w:bookmarkEnd w:id="77"/>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（一）</w:t>
      </w:r>
      <w:r>
        <w:rPr>
          <w:rFonts w:hint="eastAsia" w:ascii="楷体_GB2312" w:hAnsi="楷体_GB2312" w:eastAsia="楷体_GB2312" w:cs="楷体_GB2312"/>
          <w:b w:val="0"/>
          <w:bCs w:val="0"/>
          <w:color w:val="000000"/>
          <w:spacing w:val="0"/>
          <w:w w:val="100"/>
          <w:position w:val="0"/>
          <w:sz w:val="32"/>
          <w:szCs w:val="32"/>
          <w:lang w:val="zh-CN" w:eastAsia="zh-CN" w:bidi="zh-CN"/>
        </w:rPr>
        <w:t>思</w:t>
      </w:r>
      <w:r>
        <w:rPr>
          <w:rFonts w:hint="eastAsia" w:ascii="楷体_GB2312" w:hAnsi="楷体_GB2312" w:eastAsia="楷体_GB2312" w:cs="楷体_GB2312"/>
          <w:b w:val="0"/>
          <w:bCs w:val="0"/>
          <w:color w:val="000000"/>
          <w:spacing w:val="0"/>
          <w:w w:val="100"/>
          <w:position w:val="0"/>
          <w:sz w:val="32"/>
          <w:szCs w:val="32"/>
        </w:rPr>
        <w:t>想水平</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贯彻落实党的二十大精神，坚持正确的政治方向和价值导向； 围绕立德树人和职业教育改革，引导学生树立正确的世界观、人生观、价值观。层次分明、</w:t>
      </w:r>
      <w:r>
        <w:rPr>
          <w:rFonts w:hint="eastAsia" w:ascii="仿宋_GB2312" w:hAnsi="仿宋_GB2312" w:eastAsia="仿宋_GB2312" w:cs="仿宋_GB2312"/>
          <w:b w:val="0"/>
          <w:bCs w:val="0"/>
          <w:color w:val="000000"/>
          <w:spacing w:val="0"/>
          <w:w w:val="100"/>
          <w:position w:val="0"/>
          <w:sz w:val="32"/>
          <w:szCs w:val="32"/>
          <w:lang w:eastAsia="zh-CN"/>
        </w:rPr>
        <w:t>条理</w:t>
      </w:r>
      <w:r>
        <w:rPr>
          <w:rFonts w:hint="eastAsia" w:ascii="仿宋_GB2312" w:hAnsi="仿宋_GB2312" w:eastAsia="仿宋_GB2312" w:cs="仿宋_GB2312"/>
          <w:b w:val="0"/>
          <w:bCs w:val="0"/>
          <w:color w:val="000000"/>
          <w:spacing w:val="0"/>
          <w:w w:val="100"/>
          <w:position w:val="0"/>
          <w:sz w:val="32"/>
          <w:szCs w:val="32"/>
        </w:rPr>
        <w:t>清楚，教材体系能反映内容的内在联系及本专业特有的思维方式。</w:t>
      </w:r>
    </w:p>
    <w:p>
      <w:pPr>
        <w:pStyle w:val="9"/>
        <w:keepNext w:val="0"/>
        <w:keepLines w:val="0"/>
        <w:pageBreakBefore w:val="0"/>
        <w:widowControl w:val="0"/>
        <w:numPr>
          <w:ilvl w:val="0"/>
          <w:numId w:val="0"/>
        </w:numPr>
        <w:shd w:val="clear" w:color="auto" w:fill="auto"/>
        <w:tabs>
          <w:tab w:val="left" w:pos="1123"/>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78" w:name="bookmark108"/>
      <w:bookmarkEnd w:id="78"/>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（二）科学水平</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正确阐述课程的科学理论和概念，注重课程的层次与逻辑， 注意理论联系实际，强调以案例阐述理论。能够以最快的速度反映行业、产业、专业发展的最新信息、最新知识。</w:t>
      </w:r>
    </w:p>
    <w:p>
      <w:pPr>
        <w:pStyle w:val="9"/>
        <w:keepNext w:val="0"/>
        <w:keepLines w:val="0"/>
        <w:pageBreakBefore w:val="0"/>
        <w:widowControl w:val="0"/>
        <w:numPr>
          <w:ilvl w:val="0"/>
          <w:numId w:val="0"/>
        </w:numPr>
        <w:shd w:val="clear" w:color="auto" w:fill="auto"/>
        <w:tabs>
          <w:tab w:val="left" w:pos="1123"/>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79" w:name="bookmark109"/>
      <w:bookmarkEnd w:id="79"/>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（三）教学适用水平</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符合人才培养目标及本课程教学的要求，符合认知规律，便于学生自主学习。</w:t>
      </w:r>
    </w:p>
    <w:p>
      <w:pPr>
        <w:pStyle w:val="9"/>
        <w:keepNext w:val="0"/>
        <w:keepLines w:val="0"/>
        <w:pageBreakBefore w:val="0"/>
        <w:widowControl w:val="0"/>
        <w:numPr>
          <w:ilvl w:val="0"/>
          <w:numId w:val="0"/>
        </w:numPr>
        <w:shd w:val="clear" w:color="auto" w:fill="auto"/>
        <w:tabs>
          <w:tab w:val="left" w:pos="1123"/>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80" w:name="bookmark110"/>
      <w:bookmarkEnd w:id="80"/>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（四）职业能力培养水平</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480" w:firstLineChars="0"/>
        <w:jc w:val="both"/>
        <w:textAlignment w:val="auto"/>
        <w:rPr>
          <w:rFonts w:hint="eastAsia" w:ascii="仿宋_GB2312" w:hAnsi="仿宋_GB2312" w:eastAsia="仿宋_GB2312" w:cs="仿宋_GB2312"/>
          <w:b w:val="0"/>
          <w:bCs w:val="0"/>
          <w:color w:val="000000"/>
          <w:spacing w:val="0"/>
          <w:w w:val="100"/>
          <w:position w:val="0"/>
          <w:sz w:val="32"/>
          <w:szCs w:val="32"/>
          <w:lang w:eastAsia="zh-CN"/>
        </w:rPr>
      </w:pPr>
      <w:r>
        <w:rPr>
          <w:rFonts w:hint="eastAsia" w:ascii="仿宋_GB2312" w:hAnsi="仿宋_GB2312" w:eastAsia="仿宋_GB2312" w:cs="仿宋_GB2312"/>
          <w:b w:val="0"/>
          <w:bCs w:val="0"/>
          <w:color w:val="000000"/>
          <w:spacing w:val="0"/>
          <w:w w:val="100"/>
          <w:position w:val="0"/>
          <w:sz w:val="32"/>
          <w:szCs w:val="32"/>
        </w:rPr>
        <w:t>教材的开发体现以服务为宗旨，以就业为导向，能综合反映对学生职业岗位能力、职业道德修养、探究学习、终身学习和可持续发展能力的培养</w:t>
      </w:r>
      <w:r>
        <w:rPr>
          <w:rFonts w:hint="eastAsia" w:ascii="仿宋_GB2312" w:hAnsi="仿宋_GB2312" w:eastAsia="仿宋_GB2312" w:cs="仿宋_GB2312"/>
          <w:b w:val="0"/>
          <w:bCs w:val="0"/>
          <w:color w:val="000000"/>
          <w:spacing w:val="0"/>
          <w:w w:val="100"/>
          <w:position w:val="0"/>
          <w:sz w:val="32"/>
          <w:szCs w:val="32"/>
          <w:lang w:eastAsia="zh-CN"/>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r>
        <w:rPr>
          <w:rFonts w:hint="eastAsia" w:ascii="楷体_GB2312" w:hAnsi="楷体_GB2312" w:eastAsia="楷体_GB2312" w:cs="楷体_GB2312"/>
          <w:b w:val="0"/>
          <w:bCs w:val="0"/>
          <w:color w:val="000000"/>
          <w:spacing w:val="0"/>
          <w:w w:val="100"/>
          <w:position w:val="0"/>
          <w:sz w:val="32"/>
          <w:szCs w:val="32"/>
          <w:lang w:val="en-US" w:eastAsia="zh-CN"/>
        </w:rPr>
        <w:t>（五）文图与资源水平</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文字符合语法规则，语言流畅、通俗易懂、叙述生动。图文并茂，图表设计清晰、准确，计量单位符合标准规范；教材进行立体化设计，配有相应的数字化资源。</w:t>
      </w:r>
    </w:p>
    <w:p>
      <w:pPr>
        <w:pStyle w:val="11"/>
        <w:keepNext/>
        <w:keepLines/>
        <w:pageBreakBefore w:val="0"/>
        <w:widowControl w:val="0"/>
        <w:shd w:val="clear" w:color="auto" w:fill="auto"/>
        <w:tabs>
          <w:tab w:val="left" w:pos="1225"/>
        </w:tabs>
        <w:kinsoku/>
        <w:wordWrap/>
        <w:overflowPunct/>
        <w:topLinePunct w:val="0"/>
        <w:autoSpaceDE/>
        <w:autoSpaceDN/>
        <w:bidi w:val="0"/>
        <w:adjustRightInd/>
        <w:snapToGrid/>
        <w:spacing w:before="181" w:beforeLines="50" w:after="181" w:afterLines="50" w:line="560" w:lineRule="exact"/>
        <w:ind w:left="0" w:leftChars="0" w:right="0" w:firstLine="0" w:firstLineChars="0"/>
        <w:jc w:val="left"/>
        <w:textAlignment w:val="auto"/>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pPr>
      <w:bookmarkStart w:id="81" w:name="bookmark117"/>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二、提交材料</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r>
        <w:rPr>
          <w:rFonts w:hint="eastAsia" w:ascii="楷体_GB2312" w:hAnsi="楷体_GB2312" w:eastAsia="楷体_GB2312" w:cs="楷体_GB2312"/>
          <w:b w:val="0"/>
          <w:bCs w:val="0"/>
          <w:color w:val="000000"/>
          <w:spacing w:val="0"/>
          <w:w w:val="100"/>
          <w:position w:val="0"/>
          <w:sz w:val="32"/>
          <w:szCs w:val="32"/>
          <w:lang w:val="en-US" w:eastAsia="zh-CN"/>
        </w:rPr>
        <w:t>（一）案例介绍</w:t>
      </w:r>
      <w:r>
        <w:rPr>
          <w:rFonts w:hint="eastAsia" w:ascii="楷体_GB2312" w:hAnsi="楷体_GB2312" w:eastAsia="楷体_GB2312" w:cs="楷体_GB2312"/>
          <w:b w:val="0"/>
          <w:bCs w:val="0"/>
          <w:color w:val="000000"/>
          <w:spacing w:val="0"/>
          <w:w w:val="100"/>
          <w:position w:val="0"/>
          <w:sz w:val="32"/>
          <w:szCs w:val="32"/>
          <w:lang w:val="en-US" w:eastAsia="en-US"/>
        </w:rPr>
        <w:t>PPT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r>
        <w:rPr>
          <w:rFonts w:hint="eastAsia" w:ascii="楷体_GB2312" w:hAnsi="楷体_GB2312" w:eastAsia="楷体_GB2312" w:cs="楷体_GB2312"/>
          <w:b w:val="0"/>
          <w:bCs w:val="0"/>
          <w:color w:val="000000"/>
          <w:spacing w:val="0"/>
          <w:w w:val="100"/>
          <w:position w:val="0"/>
          <w:sz w:val="32"/>
          <w:szCs w:val="32"/>
          <w:lang w:val="en-US" w:eastAsia="zh-CN"/>
        </w:rPr>
        <w:t>（二）文字方案：3000字左右</w:t>
      </w:r>
    </w:p>
    <w:p>
      <w:pPr>
        <w:pStyle w:val="9"/>
        <w:keepNext w:val="0"/>
        <w:keepLines w:val="0"/>
        <w:pageBreakBefore w:val="0"/>
        <w:widowControl w:val="0"/>
        <w:numPr>
          <w:ilvl w:val="0"/>
          <w:numId w:val="0"/>
        </w:numPr>
        <w:shd w:val="clear" w:color="auto" w:fill="auto"/>
        <w:tabs>
          <w:tab w:val="left" w:pos="1156"/>
        </w:tabs>
        <w:kinsoku/>
        <w:wordWrap/>
        <w:overflowPunct/>
        <w:topLinePunct w:val="0"/>
        <w:autoSpaceDE/>
        <w:autoSpaceDN/>
        <w:bidi w:val="0"/>
        <w:adjustRightInd/>
        <w:snapToGrid/>
        <w:spacing w:before="0" w:after="0" w:line="560" w:lineRule="exact"/>
        <w:ind w:right="0" w:rightChars="0" w:firstLine="640" w:firstLineChars="200"/>
        <w:jc w:val="left"/>
        <w:textAlignment w:val="auto"/>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pPr>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三</w:t>
      </w:r>
      <w:bookmarkEnd w:id="81"/>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、选用标准</w:t>
      </w:r>
    </w:p>
    <w:tbl>
      <w:tblPr>
        <w:tblStyle w:val="6"/>
        <w:tblW w:w="8321" w:type="dxa"/>
        <w:jc w:val="center"/>
        <w:tblInd w:w="0" w:type="dxa"/>
        <w:tblLayout w:type="fixed"/>
        <w:tblCellMar>
          <w:top w:w="0" w:type="dxa"/>
          <w:left w:w="10" w:type="dxa"/>
          <w:bottom w:w="0" w:type="dxa"/>
          <w:right w:w="10" w:type="dxa"/>
        </w:tblCellMar>
      </w:tblPr>
      <w:tblGrid>
        <w:gridCol w:w="812"/>
        <w:gridCol w:w="1433"/>
        <w:gridCol w:w="5262"/>
        <w:gridCol w:w="814"/>
      </w:tblGrid>
      <w:tr>
        <w:tblPrEx>
          <w:tblLayout w:type="fixed"/>
          <w:tblCellMar>
            <w:top w:w="0" w:type="dxa"/>
            <w:left w:w="10" w:type="dxa"/>
            <w:bottom w:w="0" w:type="dxa"/>
            <w:right w:w="10" w:type="dxa"/>
          </w:tblCellMar>
        </w:tblPrEx>
        <w:trPr>
          <w:trHeight w:val="626" w:hRule="exact"/>
          <w:jc w:val="center"/>
        </w:trPr>
        <w:tc>
          <w:tcPr>
            <w:tcW w:w="812"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序号</w:t>
            </w:r>
          </w:p>
        </w:tc>
        <w:tc>
          <w:tcPr>
            <w:tcW w:w="1433"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评审指标</w:t>
            </w:r>
          </w:p>
        </w:tc>
        <w:tc>
          <w:tcPr>
            <w:tcW w:w="5262"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标准</w:t>
            </w:r>
          </w:p>
        </w:tc>
        <w:tc>
          <w:tcPr>
            <w:tcW w:w="814" w:type="dxa"/>
            <w:tcBorders>
              <w:top w:val="single" w:color="auto" w:sz="4" w:space="0"/>
              <w:left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分值</w:t>
            </w:r>
          </w:p>
        </w:tc>
      </w:tr>
      <w:tr>
        <w:tblPrEx>
          <w:tblLayout w:type="fixed"/>
          <w:tblCellMar>
            <w:top w:w="0" w:type="dxa"/>
            <w:left w:w="10" w:type="dxa"/>
            <w:bottom w:w="0" w:type="dxa"/>
            <w:right w:w="10" w:type="dxa"/>
          </w:tblCellMar>
        </w:tblPrEx>
        <w:trPr>
          <w:trHeight w:val="3968" w:hRule="exact"/>
          <w:jc w:val="center"/>
        </w:trPr>
        <w:tc>
          <w:tcPr>
            <w:tcW w:w="812" w:type="dxa"/>
            <w:tcBorders>
              <w:top w:val="single" w:color="auto" w:sz="4" w:space="0"/>
              <w:left w:val="single" w:color="auto" w:sz="4" w:space="0"/>
              <w:bottom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w:t>
            </w:r>
          </w:p>
        </w:tc>
        <w:tc>
          <w:tcPr>
            <w:tcW w:w="1433" w:type="dxa"/>
            <w:tcBorders>
              <w:top w:val="single" w:color="auto" w:sz="4" w:space="0"/>
              <w:left w:val="single" w:color="auto" w:sz="4" w:space="0"/>
              <w:bottom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思想水平</w:t>
            </w:r>
          </w:p>
        </w:tc>
        <w:tc>
          <w:tcPr>
            <w:tcW w:w="5262" w:type="dxa"/>
            <w:tcBorders>
              <w:top w:val="single" w:color="auto" w:sz="4" w:space="0"/>
              <w:left w:val="single" w:color="auto" w:sz="4" w:space="0"/>
              <w:bottom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能够贯彻落实二十大精神，坚持正确的政治方向和价值导向；围绕立德树人和职业教育改革，引导学生树立正确的世界观、人生观、价值观。层次分明、条例清楚，教材体系能反映内容的内在 联系及本专业特有的思维方式。</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tblPrEx>
          <w:tblLayout w:type="fixed"/>
          <w:tblCellMar>
            <w:top w:w="0" w:type="dxa"/>
            <w:left w:w="10" w:type="dxa"/>
            <w:bottom w:w="0" w:type="dxa"/>
            <w:right w:w="10" w:type="dxa"/>
          </w:tblCellMar>
        </w:tblPrEx>
        <w:trPr>
          <w:trHeight w:val="3968" w:hRule="exact"/>
          <w:jc w:val="center"/>
        </w:trPr>
        <w:tc>
          <w:tcPr>
            <w:tcW w:w="81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2</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科学水平</w:t>
            </w:r>
          </w:p>
        </w:tc>
        <w:tc>
          <w:tcPr>
            <w:tcW w:w="52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能正确阐述本学科的科学理论和概念，注意理论联系实际，以案例阐述理论，对实践具指导作用；能够反映行业发展的最新信息、最新知识，体现新业态、新技术、新规范。</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tblPrEx>
          <w:tblLayout w:type="fixed"/>
          <w:tblCellMar>
            <w:top w:w="0" w:type="dxa"/>
            <w:left w:w="10" w:type="dxa"/>
            <w:bottom w:w="0" w:type="dxa"/>
            <w:right w:w="10" w:type="dxa"/>
          </w:tblCellMar>
        </w:tblPrEx>
        <w:trPr>
          <w:trHeight w:val="7058" w:hRule="exact"/>
          <w:jc w:val="center"/>
        </w:trPr>
        <w:tc>
          <w:tcPr>
            <w:tcW w:w="812" w:type="dxa"/>
            <w:tcBorders>
              <w:top w:val="single" w:color="auto" w:sz="4" w:space="0"/>
              <w:left w:val="single" w:color="auto" w:sz="4" w:space="0"/>
              <w:bottom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3</w:t>
            </w:r>
          </w:p>
        </w:tc>
        <w:tc>
          <w:tcPr>
            <w:tcW w:w="1433" w:type="dxa"/>
            <w:tcBorders>
              <w:top w:val="single" w:color="auto" w:sz="4" w:space="0"/>
              <w:left w:val="single" w:color="auto" w:sz="4" w:space="0"/>
              <w:bottom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教学适用水平</w:t>
            </w:r>
          </w:p>
        </w:tc>
        <w:tc>
          <w:tcPr>
            <w:tcW w:w="5262" w:type="dxa"/>
            <w:tcBorders>
              <w:top w:val="single" w:color="auto" w:sz="4" w:space="0"/>
              <w:left w:val="single" w:color="auto" w:sz="4" w:space="0"/>
              <w:bottom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符合人才培养目标及本课程教学的要求，所选理论内容的广度和深度能够满足实践教学和未来从事岗位工作的需要；符合认知规律，富有启发 性，便于学生自主学习；能够完整地表达本课程 既应包含学生未来职业活动所需的最基本、最常 用的理论知识，也包含学生未来可持续性发展所必须深化和拓展的知识；绪、正文、习题、思考题、实验题、索引、参考文献齐全且著录准确； 体系结构及内容有别于同类教材，富有特色与创新。</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28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30</w:t>
            </w:r>
          </w:p>
        </w:tc>
      </w:tr>
      <w:tr>
        <w:tblPrEx>
          <w:tblLayout w:type="fixed"/>
          <w:tblCellMar>
            <w:top w:w="0" w:type="dxa"/>
            <w:left w:w="10" w:type="dxa"/>
            <w:bottom w:w="0" w:type="dxa"/>
            <w:right w:w="10" w:type="dxa"/>
          </w:tblCellMar>
        </w:tblPrEx>
        <w:trPr>
          <w:trHeight w:val="5633" w:hRule="exact"/>
          <w:jc w:val="center"/>
        </w:trPr>
        <w:tc>
          <w:tcPr>
            <w:tcW w:w="812" w:type="dxa"/>
            <w:tcBorders>
              <w:top w:val="single" w:color="auto" w:sz="4" w:space="0"/>
              <w:left w:val="single" w:color="auto" w:sz="4" w:space="0"/>
              <w:bottom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lang w:val="zh-CN" w:eastAsia="zh-CN" w:bidi="zh-CN"/>
              </w:rPr>
              <w:t>4</w:t>
            </w:r>
          </w:p>
        </w:tc>
        <w:tc>
          <w:tcPr>
            <w:tcW w:w="1433" w:type="dxa"/>
            <w:tcBorders>
              <w:top w:val="single" w:color="auto" w:sz="4" w:space="0"/>
              <w:left w:val="single" w:color="auto" w:sz="4" w:space="0"/>
              <w:bottom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职业能力培养水平</w:t>
            </w:r>
          </w:p>
        </w:tc>
        <w:tc>
          <w:tcPr>
            <w:tcW w:w="5262" w:type="dxa"/>
            <w:tcBorders>
              <w:top w:val="single" w:color="auto" w:sz="4" w:space="0"/>
              <w:left w:val="single" w:color="auto" w:sz="4" w:space="0"/>
              <w:bottom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能综合反映对学生职业岗位能力（专业能力、应变能力和创新能力）、职业道德修养和其他相关能力（协调、合作、心理素质等）的培养；融入对学生创新精神和创新能力培养的内容，使学生能够灵活运用所学知识和技能；在培养学生重点 掌握专业领域基本技能的基础上，能够与学生顺 利获得相应的专业技能等级证书有效衔接。</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20</w:t>
            </w:r>
          </w:p>
        </w:tc>
      </w:tr>
      <w:tr>
        <w:tblPrEx>
          <w:tblLayout w:type="fixed"/>
          <w:tblCellMar>
            <w:top w:w="0" w:type="dxa"/>
            <w:left w:w="10" w:type="dxa"/>
            <w:bottom w:w="0" w:type="dxa"/>
            <w:right w:w="10" w:type="dxa"/>
          </w:tblCellMar>
        </w:tblPrEx>
        <w:trPr>
          <w:trHeight w:val="3968" w:hRule="exact"/>
          <w:jc w:val="center"/>
        </w:trPr>
        <w:tc>
          <w:tcPr>
            <w:tcW w:w="812" w:type="dxa"/>
            <w:tcBorders>
              <w:top w:val="single" w:color="auto" w:sz="4" w:space="0"/>
              <w:left w:val="single" w:color="auto" w:sz="4" w:space="0"/>
              <w:bottom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lang w:val="zh-CN" w:eastAsia="zh-CN" w:bidi="zh-CN"/>
              </w:rPr>
              <w:t>5</w:t>
            </w:r>
          </w:p>
        </w:tc>
        <w:tc>
          <w:tcPr>
            <w:tcW w:w="1433" w:type="dxa"/>
            <w:tcBorders>
              <w:top w:val="single" w:color="auto" w:sz="4" w:space="0"/>
              <w:left w:val="single" w:color="auto" w:sz="4" w:space="0"/>
              <w:bottom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文图与资源水平</w:t>
            </w:r>
          </w:p>
        </w:tc>
        <w:tc>
          <w:tcPr>
            <w:tcW w:w="5262" w:type="dxa"/>
            <w:tcBorders>
              <w:top w:val="single" w:color="auto" w:sz="4" w:space="0"/>
              <w:left w:val="single" w:color="auto" w:sz="4" w:space="0"/>
              <w:bottom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both"/>
              <w:textAlignment w:val="auto"/>
              <w:rPr>
                <w:rFonts w:hint="eastAsia" w:ascii="仿宋_GB2312" w:hAnsi="仿宋_GB2312" w:eastAsia="仿宋_GB2312" w:cs="仿宋_GB2312"/>
                <w:b w:val="0"/>
                <w:bCs w:val="0"/>
                <w:color w:val="000000"/>
                <w:spacing w:val="0"/>
                <w:w w:val="100"/>
                <w:position w:val="0"/>
                <w:sz w:val="32"/>
                <w:szCs w:val="32"/>
                <w:lang w:eastAsia="zh-CN"/>
              </w:rPr>
            </w:pPr>
            <w:r>
              <w:rPr>
                <w:rFonts w:hint="eastAsia" w:ascii="仿宋_GB2312" w:hAnsi="仿宋_GB2312" w:eastAsia="仿宋_GB2312" w:cs="仿宋_GB2312"/>
                <w:b w:val="0"/>
                <w:bCs w:val="0"/>
                <w:color w:val="000000"/>
                <w:spacing w:val="0"/>
                <w:w w:val="100"/>
                <w:position w:val="0"/>
                <w:sz w:val="32"/>
                <w:szCs w:val="32"/>
              </w:rPr>
              <w:t>文字规范、简练，符合语法规则，语言流畅、通俗易懂、叙述生动；图文并茂，图表设计清晰、准确，标点、符号、公式、数据、计量单位符合标准规范。创新呈现形态，</w:t>
            </w:r>
            <w:r>
              <w:rPr>
                <w:rFonts w:hint="eastAsia" w:ascii="仿宋_GB2312" w:hAnsi="仿宋_GB2312" w:eastAsia="仿宋_GB2312" w:cs="仿宋_GB2312"/>
                <w:b w:val="0"/>
                <w:bCs w:val="0"/>
                <w:color w:val="000000"/>
                <w:spacing w:val="0"/>
                <w:w w:val="100"/>
                <w:position w:val="0"/>
                <w:sz w:val="32"/>
                <w:szCs w:val="32"/>
                <w:lang w:val="en-US" w:eastAsia="zh-CN"/>
              </w:rPr>
              <w:t>配套</w:t>
            </w:r>
            <w:r>
              <w:rPr>
                <w:rFonts w:hint="eastAsia" w:ascii="仿宋_GB2312" w:hAnsi="仿宋_GB2312" w:eastAsia="仿宋_GB2312" w:cs="仿宋_GB2312"/>
                <w:b w:val="0"/>
                <w:bCs w:val="0"/>
                <w:color w:val="000000"/>
                <w:spacing w:val="0"/>
                <w:w w:val="100"/>
                <w:position w:val="0"/>
                <w:sz w:val="32"/>
                <w:szCs w:val="32"/>
              </w:rPr>
              <w:t>数字化资源库、在线学习平台或虚拟实训模块</w:t>
            </w:r>
            <w:r>
              <w:rPr>
                <w:rFonts w:hint="eastAsia" w:ascii="仿宋_GB2312" w:hAnsi="仿宋_GB2312" w:eastAsia="仿宋_GB2312" w:cs="仿宋_GB2312"/>
                <w:b w:val="0"/>
                <w:bCs w:val="0"/>
                <w:color w:val="000000"/>
                <w:spacing w:val="0"/>
                <w:w w:val="100"/>
                <w:position w:val="0"/>
                <w:sz w:val="32"/>
                <w:szCs w:val="32"/>
                <w:lang w:eastAsia="zh-CN"/>
              </w:rPr>
              <w:t>。</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20</w:t>
            </w:r>
          </w:p>
        </w:tc>
      </w:tr>
      <w:tr>
        <w:tblPrEx>
          <w:tblLayout w:type="fixed"/>
          <w:tblCellMar>
            <w:top w:w="0" w:type="dxa"/>
            <w:left w:w="10" w:type="dxa"/>
            <w:bottom w:w="0" w:type="dxa"/>
            <w:right w:w="10" w:type="dxa"/>
          </w:tblCellMar>
        </w:tblPrEx>
        <w:trPr>
          <w:trHeight w:val="650" w:hRule="exact"/>
          <w:jc w:val="center"/>
        </w:trPr>
        <w:tc>
          <w:tcPr>
            <w:tcW w:w="7507" w:type="dxa"/>
            <w:gridSpan w:val="3"/>
            <w:tcBorders>
              <w:top w:val="single" w:color="auto" w:sz="4" w:space="0"/>
              <w:left w:val="single" w:color="auto" w:sz="4" w:space="0"/>
              <w:bottom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合计</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100</w:t>
            </w:r>
          </w:p>
        </w:tc>
      </w:tr>
    </w:tbl>
    <w:p>
      <w:pPr>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br w:type="page"/>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t>附件6</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spacing w:val="0"/>
          <w:w w:val="100"/>
          <w:position w:val="0"/>
          <w:sz w:val="44"/>
          <w:szCs w:val="44"/>
          <w:lang w:eastAsia="zh-CN"/>
        </w:rPr>
        <w:t>“</w:t>
      </w:r>
      <w:r>
        <w:rPr>
          <w:rFonts w:hint="eastAsia" w:ascii="方正小标宋简体" w:hAnsi="方正小标宋简体" w:eastAsia="方正小标宋简体" w:cs="方正小标宋简体"/>
          <w:b w:val="0"/>
          <w:bCs w:val="0"/>
          <w:color w:val="000000"/>
          <w:spacing w:val="0"/>
          <w:w w:val="100"/>
          <w:position w:val="0"/>
          <w:sz w:val="44"/>
          <w:szCs w:val="44"/>
          <w:lang w:val="en-US" w:eastAsia="zh-Hans"/>
        </w:rPr>
        <w:t>五新</w:t>
      </w:r>
      <w:r>
        <w:rPr>
          <w:rFonts w:hint="eastAsia" w:ascii="方正小标宋简体" w:hAnsi="方正小标宋简体" w:eastAsia="方正小标宋简体" w:cs="方正小标宋简体"/>
          <w:b w:val="0"/>
          <w:bCs w:val="0"/>
          <w:color w:val="000000"/>
          <w:spacing w:val="0"/>
          <w:w w:val="100"/>
          <w:position w:val="0"/>
          <w:sz w:val="44"/>
          <w:szCs w:val="44"/>
          <w:lang w:val="en-US" w:eastAsia="zh-CN"/>
        </w:rPr>
        <w:t>”</w:t>
      </w:r>
      <w:r>
        <w:rPr>
          <w:rFonts w:hint="eastAsia" w:ascii="方正小标宋简体" w:hAnsi="方正小标宋简体" w:eastAsia="方正小标宋简体" w:cs="方正小标宋简体"/>
          <w:b w:val="0"/>
          <w:bCs w:val="0"/>
          <w:color w:val="000000"/>
          <w:spacing w:val="0"/>
          <w:w w:val="100"/>
          <w:position w:val="0"/>
          <w:sz w:val="44"/>
          <w:szCs w:val="44"/>
          <w:lang w:val="en-US" w:eastAsia="zh-Hans"/>
        </w:rPr>
        <w:t>大讲堂</w:t>
      </w:r>
      <w:r>
        <w:rPr>
          <w:rFonts w:hint="eastAsia" w:ascii="方正小标宋简体" w:hAnsi="方正小标宋简体" w:eastAsia="方正小标宋简体" w:cs="方正小标宋简体"/>
          <w:b w:val="0"/>
          <w:bCs w:val="0"/>
          <w:color w:val="000000"/>
          <w:spacing w:val="0"/>
          <w:w w:val="100"/>
          <w:position w:val="0"/>
          <w:sz w:val="44"/>
          <w:szCs w:val="44"/>
        </w:rPr>
        <w:t>案例展示报名回执</w:t>
      </w:r>
    </w:p>
    <w:p>
      <w:pPr>
        <w:pStyle w:val="15"/>
        <w:keepNext w:val="0"/>
        <w:keepLines w:val="0"/>
        <w:pageBreakBefore w:val="0"/>
        <w:widowControl w:val="0"/>
        <w:shd w:val="clear" w:color="auto" w:fill="auto"/>
        <w:tabs>
          <w:tab w:val="left" w:pos="11206"/>
        </w:tabs>
        <w:kinsoku/>
        <w:wordWrap/>
        <w:overflowPunct/>
        <w:topLinePunct w:val="0"/>
        <w:autoSpaceDE/>
        <w:autoSpaceDN/>
        <w:bidi w:val="0"/>
        <w:adjustRightInd/>
        <w:snapToGrid/>
        <w:spacing w:before="0" w:after="0" w:line="560" w:lineRule="exact"/>
        <w:ind w:left="0" w:leftChars="0" w:right="0" w:firstLine="0" w:firstLineChars="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工作单位(盖章)：</w:t>
      </w:r>
      <w:r>
        <w:rPr>
          <w:rFonts w:hint="eastAsia" w:ascii="仿宋_GB2312" w:hAnsi="仿宋_GB2312" w:eastAsia="仿宋_GB2312" w:cs="仿宋_GB2312"/>
          <w:b w:val="0"/>
          <w:bCs w:val="0"/>
          <w:color w:val="000000"/>
          <w:spacing w:val="0"/>
          <w:w w:val="100"/>
          <w:position w:val="0"/>
          <w:sz w:val="32"/>
          <w:szCs w:val="32"/>
        </w:rPr>
        <w:tab/>
      </w:r>
      <w:r>
        <w:rPr>
          <w:rFonts w:hint="eastAsia" w:ascii="仿宋_GB2312" w:hAnsi="仿宋_GB2312" w:eastAsia="仿宋_GB2312" w:cs="仿宋_GB2312"/>
          <w:b w:val="0"/>
          <w:bCs w:val="0"/>
          <w:color w:val="000000"/>
          <w:spacing w:val="0"/>
          <w:w w:val="100"/>
          <w:position w:val="0"/>
          <w:sz w:val="32"/>
          <w:szCs w:val="32"/>
        </w:rPr>
        <w:t>联系人：</w:t>
      </w:r>
    </w:p>
    <w:tbl>
      <w:tblPr>
        <w:tblStyle w:val="6"/>
        <w:tblW w:w="8699" w:type="dxa"/>
        <w:jc w:val="center"/>
        <w:tblInd w:w="0" w:type="dxa"/>
        <w:tblLayout w:type="fixed"/>
        <w:tblCellMar>
          <w:top w:w="0" w:type="dxa"/>
          <w:left w:w="10" w:type="dxa"/>
          <w:bottom w:w="0" w:type="dxa"/>
          <w:right w:w="10" w:type="dxa"/>
        </w:tblCellMar>
      </w:tblPr>
      <w:tblGrid>
        <w:gridCol w:w="1007"/>
        <w:gridCol w:w="1512"/>
        <w:gridCol w:w="1848"/>
        <w:gridCol w:w="1622"/>
        <w:gridCol w:w="2710"/>
      </w:tblGrid>
      <w:tr>
        <w:tblPrEx>
          <w:tblLayout w:type="fixed"/>
          <w:tblCellMar>
            <w:top w:w="0" w:type="dxa"/>
            <w:left w:w="10" w:type="dxa"/>
            <w:bottom w:w="0" w:type="dxa"/>
            <w:right w:w="10" w:type="dxa"/>
          </w:tblCellMar>
        </w:tblPrEx>
        <w:trPr>
          <w:trHeight w:val="670" w:hRule="exact"/>
          <w:jc w:val="center"/>
        </w:trPr>
        <w:tc>
          <w:tcPr>
            <w:tcW w:w="1007"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姓名</w:t>
            </w:r>
          </w:p>
        </w:tc>
        <w:tc>
          <w:tcPr>
            <w:tcW w:w="1512"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现任职务</w:t>
            </w:r>
          </w:p>
        </w:tc>
        <w:tc>
          <w:tcPr>
            <w:tcW w:w="1848"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手机</w:t>
            </w:r>
          </w:p>
        </w:tc>
        <w:tc>
          <w:tcPr>
            <w:tcW w:w="1622" w:type="dxa"/>
            <w:tcBorders>
              <w:top w:val="single" w:color="auto" w:sz="4" w:space="0"/>
              <w:lef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邮箱</w:t>
            </w:r>
          </w:p>
        </w:tc>
        <w:tc>
          <w:tcPr>
            <w:tcW w:w="2710" w:type="dxa"/>
            <w:tcBorders>
              <w:top w:val="single" w:color="auto" w:sz="4" w:space="0"/>
              <w:left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是否统一安排住宿</w:t>
            </w:r>
          </w:p>
        </w:tc>
      </w:tr>
      <w:tr>
        <w:tblPrEx>
          <w:tblLayout w:type="fixed"/>
          <w:tblCellMar>
            <w:top w:w="0" w:type="dxa"/>
            <w:left w:w="10" w:type="dxa"/>
            <w:bottom w:w="0" w:type="dxa"/>
            <w:right w:w="10" w:type="dxa"/>
          </w:tblCellMar>
        </w:tblPrEx>
        <w:trPr>
          <w:trHeight w:val="761" w:hRule="exact"/>
          <w:jc w:val="center"/>
        </w:trPr>
        <w:tc>
          <w:tcPr>
            <w:tcW w:w="1007"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512"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848"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622"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2710" w:type="dxa"/>
            <w:tcBorders>
              <w:top w:val="single" w:color="auto" w:sz="4" w:space="0"/>
              <w:left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320" w:firstLineChars="1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口是</w:t>
            </w: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否</w:t>
            </w:r>
          </w:p>
        </w:tc>
      </w:tr>
      <w:tr>
        <w:tblPrEx>
          <w:tblLayout w:type="fixed"/>
          <w:tblCellMar>
            <w:top w:w="0" w:type="dxa"/>
            <w:left w:w="10" w:type="dxa"/>
            <w:bottom w:w="0" w:type="dxa"/>
            <w:right w:w="10" w:type="dxa"/>
          </w:tblCellMar>
        </w:tblPrEx>
        <w:trPr>
          <w:trHeight w:val="761" w:hRule="exact"/>
          <w:jc w:val="center"/>
        </w:trPr>
        <w:tc>
          <w:tcPr>
            <w:tcW w:w="1007"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512"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848"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622"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2710" w:type="dxa"/>
            <w:tcBorders>
              <w:top w:val="single" w:color="auto" w:sz="4" w:space="0"/>
              <w:left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320" w:firstLineChars="1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口是</w:t>
            </w: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否</w:t>
            </w:r>
          </w:p>
        </w:tc>
      </w:tr>
      <w:tr>
        <w:tblPrEx>
          <w:tblLayout w:type="fixed"/>
          <w:tblCellMar>
            <w:top w:w="0" w:type="dxa"/>
            <w:left w:w="10" w:type="dxa"/>
            <w:bottom w:w="0" w:type="dxa"/>
            <w:right w:w="10" w:type="dxa"/>
          </w:tblCellMar>
        </w:tblPrEx>
        <w:trPr>
          <w:trHeight w:val="761" w:hRule="exact"/>
          <w:jc w:val="center"/>
        </w:trPr>
        <w:tc>
          <w:tcPr>
            <w:tcW w:w="1007"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512"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848"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622"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271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320" w:firstLineChars="1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口是</w:t>
            </w: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否</w:t>
            </w:r>
          </w:p>
        </w:tc>
      </w:tr>
      <w:tr>
        <w:tblPrEx>
          <w:tblLayout w:type="fixed"/>
          <w:tblCellMar>
            <w:top w:w="0" w:type="dxa"/>
            <w:left w:w="10" w:type="dxa"/>
            <w:bottom w:w="0" w:type="dxa"/>
            <w:right w:w="10" w:type="dxa"/>
          </w:tblCellMar>
        </w:tblPrEx>
        <w:trPr>
          <w:trHeight w:val="761" w:hRule="exact"/>
          <w:jc w:val="center"/>
        </w:trPr>
        <w:tc>
          <w:tcPr>
            <w:tcW w:w="1007"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512"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848"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622"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271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320" w:firstLineChars="1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口是</w:t>
            </w: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否</w:t>
            </w:r>
          </w:p>
        </w:tc>
      </w:tr>
    </w:tbl>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left"/>
        <w:textAlignment w:val="auto"/>
        <w:rPr>
          <w:rFonts w:hint="eastAsia" w:ascii="仿宋_GB2312" w:hAnsi="仿宋_GB2312" w:eastAsia="仿宋_GB2312" w:cs="仿宋_GB2312"/>
          <w:b w:val="0"/>
          <w:bCs w:val="0"/>
          <w:color w:val="000000"/>
          <w:spacing w:val="0"/>
          <w:w w:val="100"/>
          <w:position w:val="0"/>
          <w:sz w:val="32"/>
          <w:szCs w:val="32"/>
        </w:rPr>
      </w:pP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注：1.此表需要</w:t>
      </w:r>
      <w:r>
        <w:rPr>
          <w:rFonts w:hint="eastAsia" w:ascii="仿宋_GB2312" w:hAnsi="仿宋_GB2312" w:eastAsia="仿宋_GB2312" w:cs="仿宋_GB2312"/>
          <w:b w:val="0"/>
          <w:bCs w:val="0"/>
          <w:color w:val="000000"/>
          <w:spacing w:val="0"/>
          <w:w w:val="100"/>
          <w:position w:val="0"/>
          <w:sz w:val="32"/>
          <w:szCs w:val="32"/>
          <w:lang w:val="en-US" w:eastAsia="zh-CN" w:bidi="en-US"/>
        </w:rPr>
        <w:t>WORD</w:t>
      </w:r>
      <w:r>
        <w:rPr>
          <w:rFonts w:hint="eastAsia" w:ascii="仿宋_GB2312" w:hAnsi="仿宋_GB2312" w:eastAsia="仿宋_GB2312" w:cs="仿宋_GB2312"/>
          <w:b w:val="0"/>
          <w:bCs w:val="0"/>
          <w:color w:val="000000"/>
          <w:spacing w:val="0"/>
          <w:w w:val="100"/>
          <w:position w:val="0"/>
          <w:sz w:val="32"/>
          <w:szCs w:val="32"/>
        </w:rPr>
        <w:t>版及</w:t>
      </w:r>
      <w:r>
        <w:rPr>
          <w:rFonts w:hint="eastAsia" w:ascii="仿宋_GB2312" w:hAnsi="仿宋_GB2312" w:eastAsia="仿宋_GB2312" w:cs="仿宋_GB2312"/>
          <w:b w:val="0"/>
          <w:bCs w:val="0"/>
          <w:color w:val="000000"/>
          <w:spacing w:val="0"/>
          <w:w w:val="100"/>
          <w:position w:val="0"/>
          <w:sz w:val="32"/>
          <w:szCs w:val="32"/>
          <w:lang w:val="en-US" w:eastAsia="zh-CN" w:bidi="en-US"/>
        </w:rPr>
        <w:t>PDF</w:t>
      </w:r>
      <w:r>
        <w:rPr>
          <w:rFonts w:hint="eastAsia" w:ascii="仿宋_GB2312" w:hAnsi="仿宋_GB2312" w:eastAsia="仿宋_GB2312" w:cs="仿宋_GB2312"/>
          <w:b w:val="0"/>
          <w:bCs w:val="0"/>
          <w:color w:val="000000"/>
          <w:spacing w:val="0"/>
          <w:w w:val="100"/>
          <w:position w:val="0"/>
          <w:sz w:val="32"/>
          <w:szCs w:val="32"/>
        </w:rPr>
        <w:t>版两份，其中</w:t>
      </w:r>
      <w:r>
        <w:rPr>
          <w:rFonts w:hint="eastAsia" w:ascii="仿宋_GB2312" w:hAnsi="仿宋_GB2312" w:eastAsia="仿宋_GB2312" w:cs="仿宋_GB2312"/>
          <w:b w:val="0"/>
          <w:bCs w:val="0"/>
          <w:color w:val="000000"/>
          <w:spacing w:val="0"/>
          <w:w w:val="100"/>
          <w:position w:val="0"/>
          <w:sz w:val="32"/>
          <w:szCs w:val="32"/>
          <w:lang w:val="en-US" w:eastAsia="zh-CN" w:bidi="en-US"/>
        </w:rPr>
        <w:t>PDF</w:t>
      </w:r>
      <w:r>
        <w:rPr>
          <w:rFonts w:hint="eastAsia" w:ascii="仿宋_GB2312" w:hAnsi="仿宋_GB2312" w:eastAsia="仿宋_GB2312" w:cs="仿宋_GB2312"/>
          <w:b w:val="0"/>
          <w:bCs w:val="0"/>
          <w:color w:val="000000"/>
          <w:spacing w:val="0"/>
          <w:w w:val="100"/>
          <w:position w:val="0"/>
          <w:sz w:val="32"/>
          <w:szCs w:val="32"/>
        </w:rPr>
        <w:t>版需由案例负责人所在单位盖章，确定推荐案例展示团队名单及信息真实有效。</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spacing w:val="0"/>
          <w:w w:val="100"/>
          <w:position w:val="0"/>
          <w:sz w:val="32"/>
          <w:szCs w:val="32"/>
        </w:rPr>
        <w:t>2.请在</w:t>
      </w:r>
      <w:r>
        <w:rPr>
          <w:rFonts w:hint="eastAsia" w:ascii="仿宋_GB2312" w:hAnsi="仿宋_GB2312" w:eastAsia="仿宋_GB2312" w:cs="仿宋_GB2312"/>
          <w:b w:val="0"/>
          <w:bCs w:val="0"/>
          <w:color w:val="000000"/>
          <w:spacing w:val="0"/>
          <w:w w:val="100"/>
          <w:position w:val="0"/>
          <w:sz w:val="32"/>
          <w:szCs w:val="32"/>
          <w:lang w:val="en-US" w:eastAsia="zh-CN"/>
        </w:rPr>
        <w:t>10月24号</w:t>
      </w:r>
      <w:r>
        <w:rPr>
          <w:rFonts w:hint="eastAsia" w:ascii="仿宋_GB2312" w:hAnsi="仿宋_GB2312" w:eastAsia="仿宋_GB2312" w:cs="仿宋_GB2312"/>
          <w:b w:val="0"/>
          <w:bCs w:val="0"/>
          <w:color w:val="000000"/>
          <w:spacing w:val="0"/>
          <w:w w:val="100"/>
          <w:position w:val="0"/>
          <w:sz w:val="32"/>
          <w:szCs w:val="32"/>
        </w:rPr>
        <w:t>之前</w:t>
      </w:r>
      <w:r>
        <w:rPr>
          <w:rFonts w:hint="eastAsia" w:ascii="仿宋_GB2312" w:hAnsi="仿宋_GB2312" w:eastAsia="仿宋_GB2312" w:cs="仿宋_GB2312"/>
          <w:b w:val="0"/>
          <w:bCs w:val="0"/>
          <w:color w:val="000000"/>
          <w:spacing w:val="0"/>
          <w:w w:val="100"/>
          <w:position w:val="0"/>
          <w:sz w:val="32"/>
          <w:szCs w:val="32"/>
          <w:lang w:val="en-US" w:eastAsia="zh-CN"/>
        </w:rPr>
        <w:t>将报名回执</w:t>
      </w:r>
      <w:r>
        <w:rPr>
          <w:rFonts w:hint="eastAsia" w:ascii="仿宋_GB2312" w:hAnsi="仿宋_GB2312" w:eastAsia="仿宋_GB2312" w:cs="仿宋_GB2312"/>
          <w:b w:val="0"/>
          <w:bCs w:val="0"/>
          <w:color w:val="000000"/>
          <w:spacing w:val="0"/>
          <w:w w:val="100"/>
          <w:position w:val="0"/>
          <w:sz w:val="32"/>
          <w:szCs w:val="32"/>
        </w:rPr>
        <w:t>发至报名邮箱</w:t>
      </w:r>
      <w:r>
        <w:rPr>
          <w:rFonts w:hint="eastAsia" w:ascii="仿宋_GB2312" w:hAnsi="仿宋_GB2312" w:eastAsia="仿宋_GB2312" w:cs="仿宋_GB2312"/>
          <w:b w:val="0"/>
          <w:bCs w:val="0"/>
          <w:color w:val="000000"/>
          <w:spacing w:val="0"/>
          <w:w w:val="100"/>
          <w:position w:val="0"/>
          <w:sz w:val="32"/>
          <w:szCs w:val="32"/>
          <w:lang w:eastAsia="zh-CN"/>
        </w:rPr>
        <w:t>。</w:t>
      </w:r>
    </w:p>
    <w:p>
      <w:pPr>
        <w:pStyle w:val="16"/>
        <w:keepNext w:val="0"/>
        <w:keepLines w:val="0"/>
        <w:pageBreakBefore w:val="0"/>
        <w:widowControl w:val="0"/>
        <w:shd w:val="clear" w:color="auto" w:fill="auto"/>
        <w:kinsoku/>
        <w:wordWrap/>
        <w:overflowPunct/>
        <w:topLinePunct w:val="0"/>
        <w:autoSpaceDE/>
        <w:autoSpaceDN/>
        <w:bidi w:val="0"/>
        <w:spacing w:before="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lang w:val="en-US" w:eastAsia="en-US" w:bidi="en-US"/>
        </w:rPr>
      </w:pPr>
    </w:p>
    <w:p>
      <w:pPr>
        <w:pStyle w:val="16"/>
        <w:keepNext w:val="0"/>
        <w:keepLines w:val="0"/>
        <w:pageBreakBefore w:val="0"/>
        <w:widowControl w:val="0"/>
        <w:shd w:val="clear" w:color="auto" w:fill="auto"/>
        <w:kinsoku/>
        <w:wordWrap/>
        <w:overflowPunct/>
        <w:topLinePunct w:val="0"/>
        <w:autoSpaceDE/>
        <w:autoSpaceDN/>
        <w:bidi w:val="0"/>
        <w:spacing w:before="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lang w:val="en-US" w:eastAsia="en-US" w:bidi="en-US"/>
        </w:rPr>
      </w:pPr>
    </w:p>
    <w:p>
      <w:pPr>
        <w:pStyle w:val="16"/>
        <w:keepNext w:val="0"/>
        <w:keepLines w:val="0"/>
        <w:pageBreakBefore w:val="0"/>
        <w:widowControl w:val="0"/>
        <w:shd w:val="clear" w:color="auto" w:fill="auto"/>
        <w:kinsoku/>
        <w:wordWrap/>
        <w:overflowPunct/>
        <w:topLinePunct w:val="0"/>
        <w:autoSpaceDE/>
        <w:autoSpaceDN/>
        <w:bidi w:val="0"/>
        <w:spacing w:before="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lang w:val="en-US" w:eastAsia="en-US" w:bidi="en-US"/>
        </w:rPr>
      </w:pPr>
    </w:p>
    <w:p>
      <w:pPr>
        <w:pStyle w:val="16"/>
        <w:keepNext w:val="0"/>
        <w:keepLines w:val="0"/>
        <w:pageBreakBefore w:val="0"/>
        <w:widowControl w:val="0"/>
        <w:shd w:val="clear" w:color="auto" w:fill="auto"/>
        <w:kinsoku/>
        <w:wordWrap/>
        <w:overflowPunct/>
        <w:topLinePunct w:val="0"/>
        <w:autoSpaceDE/>
        <w:autoSpaceDN/>
        <w:bidi w:val="0"/>
        <w:spacing w:before="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lang w:val="en-US" w:eastAsia="zh-CN" w:bidi="en-US"/>
        </w:rPr>
      </w:pPr>
      <w:r>
        <w:rPr>
          <w:rFonts w:hint="eastAsia" w:ascii="仿宋_GB2312" w:hAnsi="仿宋_GB2312" w:eastAsia="仿宋_GB2312" w:cs="仿宋_GB2312"/>
          <w:b w:val="0"/>
          <w:bCs w:val="0"/>
          <w:color w:val="000000"/>
          <w:spacing w:val="0"/>
          <w:w w:val="100"/>
          <w:position w:val="0"/>
          <w:sz w:val="32"/>
          <w:szCs w:val="32"/>
          <w:lang w:val="en-US" w:eastAsia="zh-CN" w:bidi="en-US"/>
        </w:rPr>
        <w:t xml:space="preserve"> </w:t>
      </w:r>
    </w:p>
    <w:p>
      <w:pPr>
        <w:pStyle w:val="16"/>
        <w:keepNext w:val="0"/>
        <w:keepLines w:val="0"/>
        <w:pageBreakBefore w:val="0"/>
        <w:widowControl w:val="0"/>
        <w:shd w:val="clear" w:color="auto" w:fill="auto"/>
        <w:kinsoku/>
        <w:wordWrap/>
        <w:overflowPunct/>
        <w:topLinePunct w:val="0"/>
        <w:autoSpaceDE/>
        <w:autoSpaceDN/>
        <w:bidi w:val="0"/>
        <w:spacing w:before="0" w:line="560" w:lineRule="exact"/>
        <w:ind w:left="0" w:right="0" w:firstLine="0"/>
        <w:jc w:val="center"/>
        <w:textAlignment w:val="auto"/>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en-US" w:bidi="zh-TW"/>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zh-CN" w:bidi="zh-TW"/>
        </w:rPr>
        <w:t xml:space="preserve">                       </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en-US" w:bidi="zh-TW"/>
        </w:rPr>
        <w:t>全国旅游职业教育教学指导委员会</w:t>
      </w:r>
    </w:p>
    <w:p>
      <w:pPr>
        <w:pStyle w:val="16"/>
        <w:keepNext w:val="0"/>
        <w:keepLines w:val="0"/>
        <w:pageBreakBefore w:val="0"/>
        <w:widowControl w:val="0"/>
        <w:shd w:val="clear" w:color="auto" w:fill="auto"/>
        <w:kinsoku/>
        <w:wordWrap/>
        <w:overflowPunct/>
        <w:topLinePunct w:val="0"/>
        <w:autoSpaceDE/>
        <w:autoSpaceDN/>
        <w:bidi w:val="0"/>
        <w:spacing w:before="0" w:line="560" w:lineRule="exact"/>
        <w:ind w:left="0" w:right="0" w:firstLine="0"/>
        <w:jc w:val="center"/>
        <w:textAlignment w:val="auto"/>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en-US" w:bidi="zh-TW"/>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zh-CN" w:bidi="zh-TW"/>
        </w:rPr>
        <w:t xml:space="preserve">                       </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en-US" w:bidi="zh-TW"/>
        </w:rPr>
        <w:t>（</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zh-CN" w:bidi="zh-TW"/>
        </w:rPr>
        <w:t>文化和旅游部科技教育</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en-US" w:bidi="zh-TW"/>
        </w:rPr>
        <w:t>司代章）</w:t>
      </w:r>
    </w:p>
    <w:p>
      <w:pPr>
        <w:pageBreakBefore w:val="0"/>
        <w:widowControl w:val="0"/>
        <w:kinsoku/>
        <w:wordWrap/>
        <w:overflowPunct/>
        <w:topLinePunct w:val="0"/>
        <w:autoSpaceDE/>
        <w:autoSpaceDN/>
        <w:bidi w:val="0"/>
        <w:spacing w:line="560" w:lineRule="exact"/>
        <w:textAlignment w:val="auto"/>
        <w:rPr>
          <w:rFonts w:hint="default" w:ascii="Times New Roman" w:hAnsi="Times New Roman" w:eastAsia="仿宋" w:cs="Times New Roman"/>
          <w:b w:val="0"/>
          <w:bCs w:val="0"/>
          <w:color w:val="0F1115"/>
          <w:sz w:val="28"/>
          <w:szCs w:val="28"/>
          <w:shd w:val="clear" w:color="auto" w:fill="FFFFFF"/>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zh-CN" w:bidi="zh-TW"/>
        </w:rPr>
        <w:t xml:space="preserve">                               2025年10月11日</w:t>
      </w:r>
    </w:p>
    <w:sectPr>
      <w:headerReference r:id="rId4" w:type="default"/>
      <w:footerReference r:id="rId5" w:type="default"/>
      <w:pgSz w:w="11906" w:h="16838"/>
      <w:pgMar w:top="2268" w:right="1701" w:bottom="1701" w:left="1701"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3A2389-B260-4638-803D-B778334E32A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590CA304-449D-4BD6-A53F-4E84A337C07E}"/>
  </w:font>
  <w:font w:name="仿宋">
    <w:panose1 w:val="02010609060101010101"/>
    <w:charset w:val="86"/>
    <w:family w:val="modern"/>
    <w:pitch w:val="default"/>
    <w:sig w:usb0="800002BF" w:usb1="38CF7CFA" w:usb2="00000016" w:usb3="00000000" w:csb0="00040001" w:csb1="00000000"/>
    <w:embedRegular r:id="rId3" w:fontKey="{1AC65EDB-5039-436A-AC53-0583772263BC}"/>
  </w:font>
  <w:font w:name="仿宋_GB2312">
    <w:panose1 w:val="02010609030101010101"/>
    <w:charset w:val="86"/>
    <w:family w:val="modern"/>
    <w:pitch w:val="default"/>
    <w:sig w:usb0="00000001" w:usb1="080E0000" w:usb2="00000000" w:usb3="00000000" w:csb0="00040000" w:csb1="00000000"/>
    <w:embedRegular r:id="rId4" w:fontKey="{2A5317C2-85A0-45CD-B2AB-3DD8AF8FE535}"/>
  </w:font>
  <w:font w:name="方正楷体_GB2312">
    <w:altName w:val="楷体_GB2312"/>
    <w:panose1 w:val="02000000000000000000"/>
    <w:charset w:val="86"/>
    <w:family w:val="auto"/>
    <w:pitch w:val="default"/>
    <w:sig w:usb0="00000000" w:usb1="00000000" w:usb2="00000012" w:usb3="00000000" w:csb0="00040001" w:csb1="00000000"/>
    <w:embedRegular r:id="rId5" w:fontKey="{F8806E5B-3670-454D-A52D-AE4115C10ADC}"/>
  </w:font>
  <w:font w:name="楷体_GB2312">
    <w:panose1 w:val="02010609030101010101"/>
    <w:charset w:val="86"/>
    <w:family w:val="auto"/>
    <w:pitch w:val="default"/>
    <w:sig w:usb0="00000001" w:usb1="080E0000" w:usb2="00000000" w:usb3="00000000" w:csb0="00040000" w:csb1="00000000"/>
    <w:embedRegular r:id="rId6" w:fontKey="{A266891E-EBF1-45EF-9826-BB6D925ED5EE}"/>
  </w:font>
  <w:font w:name="楷体">
    <w:panose1 w:val="02010609060101010101"/>
    <w:charset w:val="86"/>
    <w:family w:val="modern"/>
    <w:pitch w:val="default"/>
    <w:sig w:usb0="800002BF" w:usb1="38CF7CFA" w:usb2="00000016" w:usb3="00000000" w:csb0="00040001" w:csb1="00000000"/>
    <w:embedRegular r:id="rId7" w:fontKey="{53A39E71-D11D-446D-B142-3E45DEBF66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widowControl w:val="0"/>
      <w:spacing w:line="1" w:lineRule="exact"/>
    </w:pPr>
  </w:p>
  <w:p>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330D1"/>
    <w:multiLevelType w:val="singleLevel"/>
    <w:tmpl w:val="26F330D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EB0"/>
    <w:rsid w:val="0029030F"/>
    <w:rsid w:val="00387E47"/>
    <w:rsid w:val="006C72D2"/>
    <w:rsid w:val="00753A4D"/>
    <w:rsid w:val="00A16EB0"/>
    <w:rsid w:val="00B00A63"/>
    <w:rsid w:val="00BF218E"/>
    <w:rsid w:val="00EA27AF"/>
    <w:rsid w:val="065E7741"/>
    <w:rsid w:val="082321BC"/>
    <w:rsid w:val="153D50CF"/>
    <w:rsid w:val="17CD1302"/>
    <w:rsid w:val="1E17406B"/>
    <w:rsid w:val="1FFD27B2"/>
    <w:rsid w:val="231A74C2"/>
    <w:rsid w:val="24017038"/>
    <w:rsid w:val="245C6F9C"/>
    <w:rsid w:val="246A53BC"/>
    <w:rsid w:val="2EC34EA8"/>
    <w:rsid w:val="2F6AC5B0"/>
    <w:rsid w:val="303654A5"/>
    <w:rsid w:val="307E00B0"/>
    <w:rsid w:val="31280F63"/>
    <w:rsid w:val="318F2773"/>
    <w:rsid w:val="33471267"/>
    <w:rsid w:val="37EF7947"/>
    <w:rsid w:val="3B7EB55C"/>
    <w:rsid w:val="3BD648E1"/>
    <w:rsid w:val="3D2455F6"/>
    <w:rsid w:val="3F63EEDE"/>
    <w:rsid w:val="3F8BBBE5"/>
    <w:rsid w:val="41B739B9"/>
    <w:rsid w:val="43E30CD8"/>
    <w:rsid w:val="445E3427"/>
    <w:rsid w:val="50B52042"/>
    <w:rsid w:val="510D2521"/>
    <w:rsid w:val="51E40C13"/>
    <w:rsid w:val="527B1B6A"/>
    <w:rsid w:val="54921C42"/>
    <w:rsid w:val="59BEC0CD"/>
    <w:rsid w:val="5AFC03AF"/>
    <w:rsid w:val="5EEB6342"/>
    <w:rsid w:val="5EEF6BFF"/>
    <w:rsid w:val="5F1738C4"/>
    <w:rsid w:val="5FDE09E4"/>
    <w:rsid w:val="6741D952"/>
    <w:rsid w:val="677A27ED"/>
    <w:rsid w:val="6B4FF69F"/>
    <w:rsid w:val="6FEC4C3B"/>
    <w:rsid w:val="71655B6B"/>
    <w:rsid w:val="754D3327"/>
    <w:rsid w:val="75501623"/>
    <w:rsid w:val="75DFF8FF"/>
    <w:rsid w:val="774718D3"/>
    <w:rsid w:val="77F748F1"/>
    <w:rsid w:val="78DBA2B7"/>
    <w:rsid w:val="7B3FEB81"/>
    <w:rsid w:val="7B7EB1B4"/>
    <w:rsid w:val="7ECFA981"/>
    <w:rsid w:val="7FBC97F7"/>
    <w:rsid w:val="7FF73090"/>
    <w:rsid w:val="977770E2"/>
    <w:rsid w:val="B9CC17B9"/>
    <w:rsid w:val="BFFFCDD2"/>
    <w:rsid w:val="C56F121C"/>
    <w:rsid w:val="DB6EB3D5"/>
    <w:rsid w:val="DEFEDBB2"/>
    <w:rsid w:val="E59B1036"/>
    <w:rsid w:val="EFE139AD"/>
    <w:rsid w:val="F3FBC100"/>
    <w:rsid w:val="FA9DACB9"/>
    <w:rsid w:val="FFBF0A89"/>
    <w:rsid w:val="FFEB3AA7"/>
    <w:rsid w:val="FFFFF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Strong"/>
    <w:basedOn w:val="4"/>
    <w:qFormat/>
    <w:uiPriority w:val="22"/>
    <w:rPr>
      <w:b/>
      <w:bCs/>
    </w:rPr>
  </w:style>
  <w:style w:type="paragraph" w:styleId="7">
    <w:name w:val="List Paragraph"/>
    <w:basedOn w:val="1"/>
    <w:qFormat/>
    <w:uiPriority w:val="34"/>
    <w:pPr>
      <w:ind w:firstLine="420" w:firstLineChars="200"/>
    </w:pPr>
  </w:style>
  <w:style w:type="paragraph" w:customStyle="1" w:styleId="8">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Body text|1"/>
    <w:basedOn w:val="1"/>
    <w:qFormat/>
    <w:uiPriority w:val="0"/>
    <w:pPr>
      <w:widowControl w:val="0"/>
      <w:shd w:val="clear" w:color="auto" w:fill="auto"/>
      <w:spacing w:line="422" w:lineRule="auto"/>
      <w:ind w:firstLine="400"/>
    </w:pPr>
    <w:rPr>
      <w:rFonts w:ascii="宋体" w:hAnsi="宋体" w:eastAsia="宋体" w:cs="宋体"/>
      <w:sz w:val="26"/>
      <w:szCs w:val="26"/>
      <w:u w:val="none"/>
      <w:shd w:val="clear" w:color="auto" w:fill="auto"/>
      <w:lang w:val="zh-TW" w:eastAsia="zh-TW" w:bidi="zh-TW"/>
    </w:rPr>
  </w:style>
  <w:style w:type="paragraph" w:customStyle="1" w:styleId="10">
    <w:name w:val="Heading #2|1"/>
    <w:basedOn w:val="1"/>
    <w:qFormat/>
    <w:uiPriority w:val="0"/>
    <w:pPr>
      <w:widowControl w:val="0"/>
      <w:shd w:val="clear" w:color="auto" w:fill="auto"/>
      <w:spacing w:line="522" w:lineRule="exact"/>
      <w:outlineLvl w:val="1"/>
    </w:pPr>
    <w:rPr>
      <w:rFonts w:ascii="宋体" w:hAnsi="宋体" w:eastAsia="宋体" w:cs="宋体"/>
      <w:b/>
      <w:bCs/>
      <w:sz w:val="26"/>
      <w:szCs w:val="26"/>
      <w:u w:val="none"/>
      <w:shd w:val="clear" w:color="auto" w:fill="auto"/>
      <w:lang w:val="zh-TW" w:eastAsia="zh-TW" w:bidi="zh-TW"/>
    </w:rPr>
  </w:style>
  <w:style w:type="paragraph" w:customStyle="1" w:styleId="11">
    <w:name w:val="Heading #4|1"/>
    <w:basedOn w:val="1"/>
    <w:qFormat/>
    <w:uiPriority w:val="0"/>
    <w:pPr>
      <w:widowControl w:val="0"/>
      <w:shd w:val="clear" w:color="auto" w:fill="auto"/>
      <w:spacing w:after="100" w:line="322" w:lineRule="auto"/>
      <w:ind w:firstLine="570"/>
      <w:outlineLvl w:val="3"/>
    </w:pPr>
    <w:rPr>
      <w:rFonts w:ascii="宋体" w:hAnsi="宋体" w:eastAsia="宋体" w:cs="宋体"/>
      <w:b/>
      <w:bCs/>
      <w:sz w:val="30"/>
      <w:szCs w:val="30"/>
      <w:u w:val="none"/>
      <w:shd w:val="clear" w:color="auto" w:fill="auto"/>
      <w:lang w:val="zh-TW" w:eastAsia="zh-TW" w:bidi="zh-TW"/>
    </w:rPr>
  </w:style>
  <w:style w:type="paragraph" w:customStyle="1" w:styleId="12">
    <w:name w:val="Other|1"/>
    <w:basedOn w:val="1"/>
    <w:qFormat/>
    <w:uiPriority w:val="0"/>
    <w:pPr>
      <w:widowControl w:val="0"/>
      <w:shd w:val="clear" w:color="auto" w:fill="auto"/>
      <w:spacing w:line="276" w:lineRule="auto"/>
      <w:jc w:val="center"/>
    </w:pPr>
    <w:rPr>
      <w:rFonts w:ascii="宋体" w:hAnsi="宋体" w:eastAsia="宋体" w:cs="宋体"/>
      <w:sz w:val="22"/>
      <w:szCs w:val="22"/>
      <w:u w:val="none"/>
      <w:shd w:val="clear" w:color="auto" w:fill="auto"/>
      <w:lang w:val="zh-TW" w:eastAsia="zh-TW" w:bidi="zh-TW"/>
    </w:rPr>
  </w:style>
  <w:style w:type="paragraph" w:customStyle="1" w:styleId="13">
    <w:name w:val="Heading #3|1"/>
    <w:basedOn w:val="1"/>
    <w:qFormat/>
    <w:uiPriority w:val="0"/>
    <w:pPr>
      <w:widowControl w:val="0"/>
      <w:shd w:val="clear" w:color="auto" w:fill="auto"/>
      <w:spacing w:after="130" w:line="634" w:lineRule="exact"/>
      <w:ind w:firstLine="620"/>
      <w:outlineLvl w:val="2"/>
    </w:pPr>
    <w:rPr>
      <w:rFonts w:ascii="宋体" w:hAnsi="宋体" w:eastAsia="宋体" w:cs="宋体"/>
      <w:b/>
      <w:bCs/>
      <w:sz w:val="30"/>
      <w:szCs w:val="30"/>
      <w:u w:val="none"/>
      <w:shd w:val="clear" w:color="auto" w:fill="auto"/>
      <w:lang w:val="zh-TW" w:eastAsia="zh-TW" w:bidi="zh-TW"/>
    </w:rPr>
  </w:style>
  <w:style w:type="paragraph" w:customStyle="1" w:styleId="14">
    <w:name w:val="Body text|3"/>
    <w:basedOn w:val="1"/>
    <w:qFormat/>
    <w:uiPriority w:val="0"/>
    <w:pPr>
      <w:widowControl w:val="0"/>
      <w:shd w:val="clear" w:color="auto" w:fill="auto"/>
      <w:spacing w:before="420" w:after="500" w:line="565" w:lineRule="exact"/>
      <w:jc w:val="center"/>
    </w:pPr>
    <w:rPr>
      <w:rFonts w:ascii="宋体" w:hAnsi="宋体" w:eastAsia="宋体" w:cs="宋体"/>
      <w:sz w:val="42"/>
      <w:szCs w:val="42"/>
      <w:u w:val="none"/>
      <w:shd w:val="clear" w:color="auto" w:fill="auto"/>
      <w:lang w:val="zh-TW" w:eastAsia="zh-TW" w:bidi="zh-TW"/>
    </w:rPr>
  </w:style>
  <w:style w:type="paragraph" w:customStyle="1" w:styleId="15">
    <w:name w:val="Body text|2"/>
    <w:basedOn w:val="1"/>
    <w:qFormat/>
    <w:uiPriority w:val="0"/>
    <w:pPr>
      <w:widowControl w:val="0"/>
      <w:shd w:val="clear" w:color="auto" w:fill="auto"/>
      <w:spacing w:line="525" w:lineRule="exact"/>
      <w:ind w:firstLine="660"/>
    </w:pPr>
    <w:rPr>
      <w:rFonts w:ascii="宋体" w:hAnsi="宋体" w:eastAsia="宋体" w:cs="宋体"/>
      <w:sz w:val="30"/>
      <w:szCs w:val="30"/>
      <w:u w:val="none"/>
      <w:shd w:val="clear" w:color="auto" w:fill="auto"/>
      <w:lang w:val="zh-TW" w:eastAsia="zh-TW" w:bidi="zh-TW"/>
    </w:rPr>
  </w:style>
  <w:style w:type="paragraph" w:customStyle="1" w:styleId="16">
    <w:name w:val="Body text|4"/>
    <w:basedOn w:val="1"/>
    <w:qFormat/>
    <w:uiPriority w:val="0"/>
    <w:pPr>
      <w:widowControl w:val="0"/>
      <w:shd w:val="clear" w:color="auto" w:fill="auto"/>
      <w:ind w:right="1280"/>
      <w:jc w:val="right"/>
    </w:pPr>
    <w:rPr>
      <w:b/>
      <w:bCs/>
      <w:color w:val="E78C8D"/>
      <w:sz w:val="13"/>
      <w:szCs w:val="13"/>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4140</Words>
  <Characters>4254</Characters>
  <Lines>6</Lines>
  <Paragraphs>1</Paragraphs>
  <TotalTime>33</TotalTime>
  <ScaleCrop>false</ScaleCrop>
  <LinksUpToDate>false</LinksUpToDate>
  <CharactersWithSpaces>4357</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2025-09-26T01:53:00Z</dcterms:created>
  <dc:creator>殷晓晶</dc:creator>
  <cp:lastModifiedBy>LL</cp:lastModifiedBy>
  <cp:lastPrinted>2025-10-11T11:38:00Z</cp:lastPrinted>
  <dcterms:modified xsi:type="dcterms:W3CDTF">2025-10-13T02:14:02Z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eyJoZGlkIjoiMWNmMTQ3ZDllODNjYjRhYWUxM2M2YzJiYmNkNDhlZmUiLCJ1c2VySWQiOiI2MTU2NDQ1MjgifQ==</vt:lpwstr>
  </property>
  <property fmtid="{D5CDD505-2E9C-101B-9397-08002B2CF9AE}" pid="3" name="KSOProductBuildVer">
    <vt:lpwstr>2052-10.8.2.7058</vt:lpwstr>
  </property>
  <property fmtid="{D5CDD505-2E9C-101B-9397-08002B2CF9AE}" pid="4" name="ICV">
    <vt:lpwstr>9A658881CEAA81D13B76E868C36093ED_43</vt:lpwstr>
  </property>
</Properties>
</file>