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600" w:lineRule="exact"/>
        <w:jc w:val="center"/>
        <w:rPr>
          <w:rFonts w:hint="eastAsia" w:eastAsia="方正小标宋简体"/>
          <w:sz w:val="44"/>
          <w:szCs w:val="44"/>
        </w:rPr>
      </w:pPr>
      <w:r>
        <w:rPr>
          <w:rFonts w:hint="eastAsia" w:eastAsia="方正小标宋简体"/>
          <w:sz w:val="44"/>
          <w:szCs w:val="44"/>
        </w:rPr>
        <w:t>恢复开展社会艺术水平考级现场考级活动</w:t>
      </w:r>
    </w:p>
    <w:p>
      <w:pPr>
        <w:autoSpaceDE w:val="0"/>
        <w:adjustRightInd w:val="0"/>
        <w:snapToGrid w:val="0"/>
        <w:spacing w:line="600" w:lineRule="exact"/>
        <w:jc w:val="center"/>
        <w:rPr>
          <w:rFonts w:hint="eastAsia" w:eastAsia="方正小标宋简体"/>
          <w:sz w:val="44"/>
          <w:szCs w:val="44"/>
        </w:rPr>
      </w:pPr>
      <w:r>
        <w:rPr>
          <w:rFonts w:hint="eastAsia" w:eastAsia="方正小标宋简体"/>
          <w:sz w:val="44"/>
          <w:szCs w:val="44"/>
        </w:rPr>
        <w:t>疫情防控措施指南</w:t>
      </w:r>
    </w:p>
    <w:p>
      <w:pPr>
        <w:pStyle w:val="4"/>
        <w:adjustRightInd w:val="0"/>
        <w:snapToGrid w:val="0"/>
        <w:spacing w:line="600" w:lineRule="exact"/>
        <w:jc w:val="center"/>
        <w:rPr>
          <w:rFonts w:hint="eastAsia" w:ascii="楷体_GB2312" w:hAnsi="楷体" w:eastAsia="楷体_GB2312"/>
        </w:rPr>
      </w:pPr>
      <w:r>
        <w:rPr>
          <w:rFonts w:hint="eastAsia" w:ascii="楷体_GB2312" w:hAnsi="楷体" w:eastAsia="楷体_GB2312" w:cs="方正小标宋_GBK"/>
          <w:sz w:val="36"/>
          <w:szCs w:val="36"/>
        </w:rPr>
        <w:t>（</w:t>
      </w:r>
      <w:r>
        <w:rPr>
          <w:rFonts w:hint="eastAsia" w:ascii="楷体_GB2312" w:hAnsi="楷体" w:eastAsia="楷体_GB2312"/>
          <w:sz w:val="36"/>
          <w:szCs w:val="36"/>
        </w:rPr>
        <w:t>2021年11月修订版）</w:t>
      </w:r>
    </w:p>
    <w:p>
      <w:pPr>
        <w:pStyle w:val="4"/>
        <w:adjustRightInd w:val="0"/>
        <w:snapToGrid w:val="0"/>
        <w:spacing w:line="600" w:lineRule="exact"/>
        <w:rPr>
          <w:rFonts w:hint="eastAsia" w:ascii="方正小标宋简体" w:hAnsi="Calibri" w:eastAsia="方正小标宋简体"/>
          <w:sz w:val="36"/>
          <w:szCs w:val="36"/>
        </w:rPr>
      </w:pPr>
    </w:p>
    <w:p>
      <w:pPr>
        <w:pStyle w:val="4"/>
        <w:adjustRightInd w:val="0"/>
        <w:snapToGrid w:val="0"/>
        <w:spacing w:line="600" w:lineRule="exact"/>
        <w:ind w:firstLine="564"/>
        <w:rPr>
          <w:rFonts w:hint="eastAsia" w:ascii="仿宋_GB2312" w:eastAsia="仿宋_GB2312"/>
          <w:sz w:val="32"/>
          <w:szCs w:val="32"/>
        </w:rPr>
      </w:pPr>
      <w:r>
        <w:rPr>
          <w:rFonts w:hint="eastAsia" w:ascii="仿宋_GB2312" w:eastAsia="仿宋_GB2312"/>
          <w:sz w:val="32"/>
          <w:szCs w:val="32"/>
        </w:rPr>
        <w:t>为深入贯彻落实习近平总书记重要指示批示精神，落实党中央、国务院决策部署，指导全国社会艺术水平考级活动疫情防控，进一步提升考级活动疫情防控水平，针对当前疫情防控形势，在《恢复开展社会艺术水平考级现场考级活动疫情防控措施指南》基础上，修订形成本指南。</w:t>
      </w:r>
    </w:p>
    <w:p>
      <w:pPr>
        <w:pStyle w:val="4"/>
        <w:adjustRightInd w:val="0"/>
        <w:snapToGrid w:val="0"/>
        <w:spacing w:line="600" w:lineRule="exact"/>
        <w:ind w:firstLine="640"/>
        <w:rPr>
          <w:rFonts w:hint="eastAsia" w:ascii="Calibri"/>
        </w:rPr>
      </w:pPr>
      <w:r>
        <w:rPr>
          <w:rFonts w:hint="eastAsia" w:ascii="黑体" w:hAnsi="黑体" w:eastAsia="黑体"/>
          <w:sz w:val="32"/>
          <w:szCs w:val="32"/>
        </w:rPr>
        <w:t>一、总体要求</w:t>
      </w:r>
    </w:p>
    <w:p>
      <w:pPr>
        <w:pStyle w:val="4"/>
        <w:adjustRightInd w:val="0"/>
        <w:snapToGrid w:val="0"/>
        <w:spacing w:line="600" w:lineRule="exact"/>
        <w:ind w:firstLine="640"/>
        <w:rPr>
          <w:rFonts w:ascii="仿宋_GB2312" w:eastAsia="仿宋_GB2312"/>
          <w:color w:val="000000"/>
          <w:sz w:val="32"/>
          <w:szCs w:val="32"/>
        </w:rPr>
      </w:pPr>
      <w:r>
        <w:rPr>
          <w:rFonts w:hint="eastAsia" w:ascii="楷体_GB2312" w:eastAsia="楷体_GB2312"/>
          <w:color w:val="000000"/>
          <w:sz w:val="32"/>
          <w:szCs w:val="32"/>
        </w:rPr>
        <w:t>（一）坚持防控为先。</w:t>
      </w:r>
      <w:r>
        <w:rPr>
          <w:rFonts w:hint="eastAsia" w:ascii="仿宋_GB2312" w:eastAsia="仿宋_GB2312"/>
          <w:color w:val="000000"/>
          <w:sz w:val="32"/>
          <w:szCs w:val="32"/>
        </w:rPr>
        <w:t>坚持常态防控、科学防控、精准防控。按照</w:t>
      </w:r>
      <w:r>
        <w:rPr>
          <w:rFonts w:hint="eastAsia" w:ascii="仿宋_GB2312" w:eastAsia="仿宋_GB2312"/>
          <w:sz w:val="32"/>
          <w:szCs w:val="32"/>
        </w:rPr>
        <w:t>“属地原则”，</w:t>
      </w:r>
      <w:r>
        <w:rPr>
          <w:rFonts w:hint="eastAsia" w:ascii="仿宋_GB2312" w:eastAsia="仿宋_GB2312"/>
          <w:color w:val="000000"/>
          <w:sz w:val="32"/>
          <w:szCs w:val="32"/>
        </w:rPr>
        <w:t>各地文化和旅游行政部门要根据属地党委、政府统一部署和当地疫情防控指挥部门要求，</w:t>
      </w:r>
      <w:r>
        <w:rPr>
          <w:rFonts w:hint="eastAsia" w:ascii="仿宋_GB2312" w:eastAsia="仿宋_GB2312"/>
          <w:sz w:val="32"/>
          <w:szCs w:val="32"/>
        </w:rPr>
        <w:t>抓紧抓实抓细</w:t>
      </w:r>
      <w:r>
        <w:rPr>
          <w:rFonts w:hint="eastAsia" w:ascii="仿宋_GB2312" w:eastAsia="仿宋_GB2312"/>
          <w:color w:val="000000"/>
          <w:sz w:val="32"/>
          <w:szCs w:val="32"/>
        </w:rPr>
        <w:t>社会艺术水平考级现场考级活动疫情防控工作。疫情中高风险地区应当立即暂停现场考级活动；疫情风险具有较大不确定性地区和境外输入压力较大地区，应当按照从严从紧的原则严格控制现场考级活动。</w:t>
      </w:r>
    </w:p>
    <w:p>
      <w:pPr>
        <w:pStyle w:val="4"/>
        <w:adjustRightInd w:val="0"/>
        <w:snapToGrid w:val="0"/>
        <w:spacing w:line="600" w:lineRule="exact"/>
        <w:ind w:firstLine="640"/>
        <w:rPr>
          <w:rFonts w:hint="eastAsia" w:ascii="Calibri" w:eastAsia="仿宋_GB2312"/>
        </w:rPr>
      </w:pPr>
      <w:r>
        <w:rPr>
          <w:rFonts w:hint="eastAsia" w:ascii="楷体_GB2312" w:eastAsia="楷体_GB2312"/>
          <w:color w:val="000000"/>
          <w:sz w:val="32"/>
          <w:szCs w:val="32"/>
        </w:rPr>
        <w:t>（二）坚持严格管理。</w:t>
      </w:r>
      <w:r>
        <w:rPr>
          <w:rFonts w:hint="eastAsia" w:ascii="仿宋_GB2312" w:eastAsia="仿宋_GB2312"/>
          <w:color w:val="000000"/>
          <w:sz w:val="32"/>
          <w:szCs w:val="32"/>
        </w:rPr>
        <w:t>各地</w:t>
      </w:r>
      <w:r>
        <w:rPr>
          <w:rFonts w:hint="eastAsia" w:ascii="仿宋_GB2312" w:eastAsia="仿宋_GB2312"/>
          <w:sz w:val="32"/>
          <w:szCs w:val="32"/>
        </w:rPr>
        <w:t>文化和旅游行政部门结合本地疫情防控工作的实际情况，分区分级，</w:t>
      </w:r>
      <w:r>
        <w:rPr>
          <w:rFonts w:hint="eastAsia" w:ascii="仿宋_GB2312" w:eastAsia="仿宋_GB2312"/>
          <w:color w:val="000000"/>
          <w:sz w:val="32"/>
          <w:szCs w:val="32"/>
        </w:rPr>
        <w:t>确定开展社会艺术水平考级现场考级活动的具体条件和管理要求，指导社会艺术水平考级机构制定疫情防控方案和应急预案，落实落细各项防控措施，确保现场考级活动安全有序开展。各地文化和旅游行政部门要对在本地备案的考级活动加强疫情风险研判，第一时间掌握备案信息，从严从紧管理，对因疫情防控需要临时调整备案及相应考级活动的，做好指导工作。</w:t>
      </w:r>
    </w:p>
    <w:p>
      <w:pPr>
        <w:pStyle w:val="4"/>
        <w:adjustRightInd w:val="0"/>
        <w:snapToGrid w:val="0"/>
        <w:spacing w:line="600" w:lineRule="exact"/>
        <w:ind w:firstLine="564"/>
        <w:rPr>
          <w:rFonts w:hint="eastAsia"/>
        </w:rPr>
      </w:pPr>
      <w:r>
        <w:rPr>
          <w:rFonts w:hint="eastAsia" w:ascii="楷体_GB2312" w:eastAsia="楷体_GB2312"/>
          <w:sz w:val="32"/>
          <w:szCs w:val="32"/>
        </w:rPr>
        <w:t>（三）坚持预约限流。</w:t>
      </w:r>
      <w:r>
        <w:rPr>
          <w:rFonts w:hint="eastAsia" w:ascii="仿宋_GB2312" w:eastAsia="仿宋_GB2312"/>
          <w:sz w:val="32"/>
          <w:szCs w:val="32"/>
        </w:rPr>
        <w:t>开展现场考级活动的机构应当严格执行人员限流限量措施，错峰安排报到和考试时间，减少人员聚集和等待。</w:t>
      </w:r>
    </w:p>
    <w:p>
      <w:pPr>
        <w:pStyle w:val="4"/>
        <w:adjustRightInd w:val="0"/>
        <w:snapToGrid w:val="0"/>
        <w:spacing w:line="600" w:lineRule="exact"/>
        <w:ind w:firstLine="640"/>
      </w:pPr>
      <w:r>
        <w:rPr>
          <w:rFonts w:hint="eastAsia" w:ascii="黑体" w:hAnsi="黑体" w:eastAsia="黑体"/>
          <w:sz w:val="32"/>
          <w:szCs w:val="32"/>
        </w:rPr>
        <w:t>二、考生和家长防护</w:t>
      </w:r>
    </w:p>
    <w:p>
      <w:pPr>
        <w:pStyle w:val="4"/>
        <w:adjustRightInd w:val="0"/>
        <w:snapToGrid w:val="0"/>
        <w:spacing w:line="600" w:lineRule="exact"/>
        <w:ind w:firstLine="564"/>
      </w:pPr>
      <w:r>
        <w:rPr>
          <w:rFonts w:hint="eastAsia" w:ascii="楷体_GB2312" w:eastAsia="楷体_GB2312"/>
          <w:sz w:val="32"/>
          <w:szCs w:val="32"/>
        </w:rPr>
        <w:t>（四）做好入场检测工作。</w:t>
      </w:r>
      <w:r>
        <w:rPr>
          <w:rFonts w:hint="eastAsia" w:ascii="仿宋_GB2312" w:eastAsia="仿宋_GB2312"/>
          <w:sz w:val="32"/>
          <w:szCs w:val="32"/>
        </w:rPr>
        <w:t>考点应当配备测量体温设施设备，并安排专人值守。考生检录时必须佩戴口罩、测量体温、出示健康码或核酸检测等有效健康证明，按照考场安排持准考证进行检录登记。考生不戴口罩或体温异常的，禁止入内。</w:t>
      </w:r>
    </w:p>
    <w:p>
      <w:pPr>
        <w:pStyle w:val="4"/>
        <w:adjustRightInd w:val="0"/>
        <w:snapToGrid w:val="0"/>
        <w:spacing w:line="600" w:lineRule="exact"/>
        <w:ind w:firstLine="564"/>
        <w:rPr>
          <w:rFonts w:ascii="仿宋_GB2312" w:eastAsia="仿宋_GB2312"/>
          <w:sz w:val="32"/>
          <w:szCs w:val="32"/>
        </w:rPr>
      </w:pPr>
      <w:r>
        <w:rPr>
          <w:rFonts w:hint="eastAsia" w:ascii="楷体_GB2312" w:eastAsia="楷体_GB2312"/>
          <w:sz w:val="32"/>
          <w:szCs w:val="32"/>
        </w:rPr>
        <w:t>（五）实施预约限流措施。</w:t>
      </w:r>
      <w:r>
        <w:rPr>
          <w:rFonts w:hint="eastAsia" w:ascii="仿宋_GB2312" w:eastAsia="仿宋_GB2312"/>
          <w:sz w:val="32"/>
          <w:szCs w:val="32"/>
        </w:rPr>
        <w:t>考级机构应当通过不见面方式开展现场考级活动考试报名、考场安排、证书发放等工作。严格按照疫情防控要求及相关参数标准，确定日均人数上限，并实现学生和家长错峰入场。鼓励考生在保障安全前提下通过步行、自行车、私家车前往，原则上一名考生由一名家长陪同。</w:t>
      </w:r>
    </w:p>
    <w:p>
      <w:pPr>
        <w:pStyle w:val="4"/>
        <w:adjustRightInd w:val="0"/>
        <w:snapToGrid w:val="0"/>
        <w:spacing w:line="600" w:lineRule="exact"/>
        <w:ind w:firstLine="564"/>
        <w:rPr>
          <w:rFonts w:hint="eastAsia" w:ascii="仿宋_GB2312" w:eastAsia="仿宋_GB2312"/>
          <w:sz w:val="32"/>
          <w:szCs w:val="32"/>
          <w:lang w:eastAsia="zh-CN"/>
        </w:rPr>
      </w:pPr>
      <w:r>
        <w:rPr>
          <w:rFonts w:hint="eastAsia" w:ascii="楷体_GB2312" w:eastAsia="楷体_GB2312"/>
          <w:sz w:val="32"/>
          <w:szCs w:val="32"/>
        </w:rPr>
        <w:t>（六）建立巡查制度。</w:t>
      </w:r>
      <w:r>
        <w:rPr>
          <w:rFonts w:hint="eastAsia" w:ascii="仿宋_GB2312" w:eastAsia="仿宋_GB2312"/>
          <w:sz w:val="32"/>
          <w:szCs w:val="32"/>
        </w:rPr>
        <w:t>考点应当安排专人做好考试现场管理，监督进入考试区的考生、考官及工作人员遵守相关防疫要求，及时对考生进行疏导、分流，保持安全社交距离</w:t>
      </w:r>
      <w:r>
        <w:rPr>
          <w:rFonts w:hint="eastAsia" w:ascii="仿宋_GB2312" w:eastAsia="仿宋_GB2312"/>
          <w:sz w:val="32"/>
          <w:szCs w:val="32"/>
          <w:lang w:eastAsia="zh-CN"/>
        </w:rPr>
        <w:t>。</w:t>
      </w:r>
      <w:bookmarkStart w:id="0" w:name="_GoBack"/>
      <w:bookmarkEnd w:id="0"/>
    </w:p>
    <w:p>
      <w:pPr>
        <w:pStyle w:val="4"/>
        <w:adjustRightInd w:val="0"/>
        <w:snapToGrid w:val="0"/>
        <w:spacing w:line="600" w:lineRule="exact"/>
        <w:ind w:firstLine="564"/>
        <w:rPr>
          <w:rFonts w:hint="eastAsia" w:ascii="Calibri"/>
        </w:rPr>
      </w:pPr>
      <w:r>
        <w:rPr>
          <w:rFonts w:hint="eastAsia" w:ascii="楷体_GB2312" w:eastAsia="楷体_GB2312"/>
          <w:sz w:val="32"/>
          <w:szCs w:val="32"/>
        </w:rPr>
        <w:t>（七）提供医务保障。</w:t>
      </w:r>
      <w:r>
        <w:rPr>
          <w:rFonts w:hint="eastAsia" w:ascii="仿宋_GB2312" w:eastAsia="仿宋_GB2312"/>
          <w:sz w:val="32"/>
          <w:szCs w:val="32"/>
        </w:rPr>
        <w:t>考级机构应当有专人负责医务保障工作，应急处理考生、考官和工作人员临时出现身体不适等情况。对发热、咳嗽等疑似症状要及时向就近医疗机构反馈和沟通。</w:t>
      </w:r>
    </w:p>
    <w:p>
      <w:pPr>
        <w:pStyle w:val="4"/>
        <w:adjustRightInd w:val="0"/>
        <w:snapToGrid w:val="0"/>
        <w:spacing w:line="600" w:lineRule="exact"/>
        <w:ind w:firstLine="640"/>
        <w:rPr>
          <w:rFonts w:ascii="黑体" w:eastAsia="黑体"/>
          <w:sz w:val="32"/>
          <w:szCs w:val="32"/>
        </w:rPr>
      </w:pPr>
      <w:r>
        <w:rPr>
          <w:rFonts w:hint="eastAsia" w:ascii="黑体" w:hAnsi="黑体" w:eastAsia="黑体"/>
          <w:sz w:val="32"/>
          <w:szCs w:val="32"/>
        </w:rPr>
        <w:t>三、场所防控管理</w:t>
      </w:r>
    </w:p>
    <w:p>
      <w:pPr>
        <w:pStyle w:val="4"/>
        <w:adjustRightInd w:val="0"/>
        <w:snapToGrid w:val="0"/>
        <w:spacing w:line="600" w:lineRule="exact"/>
        <w:ind w:firstLine="640"/>
        <w:rPr>
          <w:rFonts w:hint="eastAsia" w:ascii="仿宋_GB2312" w:hAnsi="Calibri" w:eastAsia="仿宋_GB2312"/>
          <w:sz w:val="32"/>
          <w:szCs w:val="32"/>
        </w:rPr>
      </w:pPr>
      <w:r>
        <w:rPr>
          <w:rFonts w:hint="eastAsia" w:ascii="楷体_GB2312" w:eastAsia="楷体_GB2312"/>
          <w:sz w:val="32"/>
          <w:szCs w:val="32"/>
        </w:rPr>
        <w:t>（八）严格选择考场。</w:t>
      </w:r>
      <w:r>
        <w:rPr>
          <w:rFonts w:hint="eastAsia" w:ascii="仿宋_GB2312" w:eastAsia="仿宋_GB2312"/>
          <w:sz w:val="32"/>
          <w:szCs w:val="32"/>
        </w:rPr>
        <w:t>考场选择应符合</w:t>
      </w:r>
      <w:r>
        <w:rPr>
          <w:rFonts w:hint="eastAsia" w:ascii="仿宋_GB2312" w:eastAsia="仿宋_GB2312"/>
          <w:color w:val="000000"/>
          <w:sz w:val="32"/>
          <w:szCs w:val="32"/>
        </w:rPr>
        <w:t>《社会艺术水平考级考点、考场设置及环境要求》（GB/T 36725—2018）要求，并</w:t>
      </w:r>
      <w:r>
        <w:rPr>
          <w:rFonts w:hint="eastAsia" w:ascii="仿宋_GB2312" w:eastAsia="仿宋_GB2312"/>
          <w:sz w:val="32"/>
          <w:szCs w:val="32"/>
        </w:rPr>
        <w:t>避免在人员密集和流动性大的车站、医院、商业区等地点附近安排考场。</w:t>
      </w:r>
    </w:p>
    <w:p>
      <w:pPr>
        <w:pStyle w:val="4"/>
        <w:adjustRightInd w:val="0"/>
        <w:snapToGrid w:val="0"/>
        <w:spacing w:line="600" w:lineRule="exact"/>
        <w:ind w:firstLine="640"/>
        <w:rPr>
          <w:rFonts w:hint="eastAsia" w:ascii="仿宋_GB2312" w:eastAsia="仿宋_GB2312"/>
          <w:sz w:val="32"/>
          <w:szCs w:val="32"/>
        </w:rPr>
      </w:pPr>
      <w:r>
        <w:rPr>
          <w:rFonts w:hint="eastAsia" w:ascii="楷体_GB2312" w:eastAsia="楷体_GB2312"/>
          <w:sz w:val="32"/>
          <w:szCs w:val="32"/>
        </w:rPr>
        <w:t>（九）降低人员密度。</w:t>
      </w:r>
      <w:r>
        <w:rPr>
          <w:rFonts w:hint="eastAsia" w:ascii="仿宋_GB2312" w:eastAsia="仿宋_GB2312"/>
          <w:sz w:val="32"/>
          <w:szCs w:val="32"/>
        </w:rPr>
        <w:t>各专业考生考场内人均面积最低标准按照</w:t>
      </w:r>
      <w:r>
        <w:rPr>
          <w:rFonts w:hint="eastAsia" w:ascii="仿宋_GB2312" w:eastAsia="仿宋_GB2312"/>
          <w:color w:val="000000"/>
          <w:sz w:val="32"/>
          <w:szCs w:val="32"/>
        </w:rPr>
        <w:t>《社会艺术水平考级考点、考场设置及环境要求》（GB/T 36725—2018）</w:t>
      </w:r>
      <w:r>
        <w:rPr>
          <w:rFonts w:hint="eastAsia" w:ascii="仿宋_GB2312" w:eastAsia="仿宋_GB2312"/>
          <w:sz w:val="32"/>
          <w:szCs w:val="32"/>
        </w:rPr>
        <w:t>规定上浮2</w:t>
      </w:r>
      <w:r>
        <w:rPr>
          <w:rFonts w:hint="eastAsia"/>
          <w:sz w:val="32"/>
          <w:szCs w:val="32"/>
        </w:rPr>
        <w:t>㎡</w:t>
      </w:r>
      <w:r>
        <w:rPr>
          <w:rFonts w:hint="eastAsia" w:ascii="仿宋_GB2312" w:hAnsi="仿宋_GB2312" w:eastAsia="仿宋_GB2312" w:cs="仿宋_GB2312"/>
          <w:sz w:val="32"/>
          <w:szCs w:val="32"/>
        </w:rPr>
        <w:t>执行，且集体性考试中音乐基础知识和美术专业每个考场人数上限</w:t>
      </w:r>
      <w:r>
        <w:rPr>
          <w:rFonts w:hint="eastAsia" w:ascii="仿宋_GB2312" w:eastAsia="仿宋_GB2312"/>
          <w:sz w:val="32"/>
          <w:szCs w:val="32"/>
        </w:rPr>
        <w:t>50人、舞蹈专业每个考场人数上限10人。考生在候考区内人均面积不低于2</w:t>
      </w:r>
      <w:r>
        <w:rPr>
          <w:rFonts w:hint="eastAsia"/>
          <w:sz w:val="32"/>
          <w:szCs w:val="32"/>
        </w:rPr>
        <w:t>㎡</w:t>
      </w:r>
      <w:r>
        <w:rPr>
          <w:rFonts w:hint="eastAsia" w:ascii="仿宋_GB2312" w:hAnsi="仿宋_GB2312" w:eastAsia="仿宋_GB2312" w:cs="仿宋_GB2312"/>
          <w:sz w:val="32"/>
          <w:szCs w:val="32"/>
        </w:rPr>
        <w:t>，并保持安全距离。严格控制家长等候休息区人数，考生进入考场后，鼓励家长在户外活动，根据时间安排在规定出口处等候。</w:t>
      </w:r>
      <w:r>
        <w:rPr>
          <w:rFonts w:hint="eastAsia" w:ascii="仿宋_GB2312" w:eastAsia="仿宋_GB2312"/>
          <w:sz w:val="32"/>
          <w:szCs w:val="32"/>
        </w:rPr>
        <w:t xml:space="preserve">  </w:t>
      </w:r>
    </w:p>
    <w:p>
      <w:pPr>
        <w:pStyle w:val="4"/>
        <w:adjustRightInd w:val="0"/>
        <w:snapToGrid w:val="0"/>
        <w:spacing w:line="600" w:lineRule="exact"/>
        <w:ind w:firstLine="640"/>
        <w:rPr>
          <w:rFonts w:hint="eastAsia" w:ascii="仿宋_GB2312" w:eastAsia="仿宋_GB2312"/>
          <w:sz w:val="32"/>
          <w:szCs w:val="32"/>
        </w:rPr>
      </w:pPr>
      <w:r>
        <w:rPr>
          <w:rFonts w:hint="eastAsia" w:ascii="楷体_GB2312" w:eastAsia="楷体_GB2312"/>
          <w:sz w:val="32"/>
          <w:szCs w:val="32"/>
        </w:rPr>
        <w:t>（十）加强消毒通风。</w:t>
      </w:r>
      <w:r>
        <w:rPr>
          <w:rFonts w:hint="eastAsia" w:ascii="仿宋_GB2312" w:eastAsia="仿宋_GB2312"/>
          <w:sz w:val="32"/>
          <w:szCs w:val="32"/>
        </w:rPr>
        <w:t>考级机构应当在考试前一天以及考试期间对考点公共部分如地面、电梯、门把手、楼梯扶手和考场内部的桌椅、乐器、考试道具等高频接触物体，及时进行清洁消杀。建立《考点清洁消杀记录表》，记录消杀时间、责任人等信息。集体性考试相邻场次间应有充足的间隔期做好考场的换气通风。</w:t>
      </w:r>
    </w:p>
    <w:p>
      <w:pPr>
        <w:pStyle w:val="4"/>
        <w:adjustRightInd w:val="0"/>
        <w:snapToGrid w:val="0"/>
        <w:spacing w:line="600" w:lineRule="exact"/>
        <w:ind w:firstLine="640"/>
        <w:rPr>
          <w:rFonts w:hint="eastAsia" w:ascii="仿宋_GB2312" w:eastAsia="仿宋_GB2312"/>
          <w:sz w:val="32"/>
          <w:szCs w:val="32"/>
        </w:rPr>
      </w:pPr>
      <w:r>
        <w:rPr>
          <w:rFonts w:hint="eastAsia" w:ascii="楷体_GB2312" w:eastAsia="楷体_GB2312"/>
          <w:sz w:val="32"/>
          <w:szCs w:val="32"/>
        </w:rPr>
        <w:t>（十一）配备充足防护物资。</w:t>
      </w:r>
      <w:r>
        <w:rPr>
          <w:rFonts w:hint="eastAsia" w:ascii="仿宋_GB2312" w:eastAsia="仿宋_GB2312"/>
          <w:sz w:val="32"/>
          <w:szCs w:val="32"/>
        </w:rPr>
        <w:t>考级机构在各考点应当配备体温检测设备、口罩、免洗手消毒剂或消毒湿巾等防护物资，在考场、候考区、洗手间等区域配备洗手液、医用酒精等消毒物品，便于考生、考官和工作人员随时消毒清洁。</w:t>
      </w:r>
    </w:p>
    <w:p>
      <w:pPr>
        <w:pStyle w:val="4"/>
        <w:adjustRightInd w:val="0"/>
        <w:snapToGrid w:val="0"/>
        <w:spacing w:line="600" w:lineRule="exact"/>
        <w:ind w:firstLine="640"/>
        <w:rPr>
          <w:rFonts w:hint="eastAsia" w:ascii="仿宋_GB2312" w:eastAsia="仿宋_GB2312"/>
          <w:sz w:val="32"/>
          <w:szCs w:val="32"/>
        </w:rPr>
      </w:pPr>
      <w:r>
        <w:rPr>
          <w:rFonts w:hint="eastAsia" w:ascii="楷体_GB2312" w:eastAsia="楷体_GB2312"/>
          <w:sz w:val="32"/>
          <w:szCs w:val="32"/>
        </w:rPr>
        <w:t>（十二）加强宣传教育。</w:t>
      </w:r>
      <w:r>
        <w:rPr>
          <w:rFonts w:hint="eastAsia" w:ascii="仿宋_GB2312" w:eastAsia="仿宋_GB2312"/>
          <w:sz w:val="32"/>
          <w:szCs w:val="32"/>
        </w:rPr>
        <w:t>考级机构要积极通过多种形式向考生和家长宣传、培训疫情防控知识和技能，讲解现场考级活动期间的防疫措施和安排，提高考生和家长预防控制意识和应对能力。考点应通过设置提示牌、摆放宣传品、微信公众号、电子显示屏等多种方式，加强疫情防控知识科普宣传。</w:t>
      </w:r>
    </w:p>
    <w:p>
      <w:pPr>
        <w:pStyle w:val="4"/>
        <w:adjustRightInd w:val="0"/>
        <w:snapToGrid w:val="0"/>
        <w:spacing w:line="600" w:lineRule="exact"/>
        <w:ind w:firstLine="640"/>
        <w:rPr>
          <w:rFonts w:hint="eastAsia" w:ascii="仿宋_GB2312" w:eastAsia="仿宋_GB2312"/>
          <w:sz w:val="32"/>
          <w:szCs w:val="32"/>
        </w:rPr>
      </w:pPr>
      <w:r>
        <w:rPr>
          <w:rFonts w:hint="eastAsia" w:ascii="黑体" w:hAnsi="黑体" w:eastAsia="黑体"/>
          <w:sz w:val="32"/>
          <w:szCs w:val="32"/>
        </w:rPr>
        <w:t>四、考官和工作人员健康管理</w:t>
      </w:r>
    </w:p>
    <w:p>
      <w:pPr>
        <w:pStyle w:val="4"/>
        <w:adjustRightInd w:val="0"/>
        <w:snapToGrid w:val="0"/>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（十三）开展员工健康监测。</w:t>
      </w:r>
      <w:r>
        <w:rPr>
          <w:rFonts w:hint="eastAsia" w:ascii="仿宋_GB2312" w:eastAsia="仿宋_GB2312"/>
          <w:sz w:val="32"/>
          <w:szCs w:val="32"/>
        </w:rPr>
        <w:t>工作人员疫苗接种做到应接尽接，接种疫苗后仍需注意个人防护。建立工作人员健康监测制度，考级机构应当在考试前14天对直接接触考生的工作人员、考官等群体进行健康监测，对有疑似症状的禁止上岗并及时就医密切跟踪病情进展。要关心关爱所有员工身心健康，做好员工健康管理。</w:t>
      </w:r>
    </w:p>
    <w:p>
      <w:pPr>
        <w:pStyle w:val="4"/>
        <w:adjustRightInd w:val="0"/>
        <w:snapToGrid w:val="0"/>
        <w:spacing w:line="600" w:lineRule="exact"/>
        <w:ind w:firstLine="641"/>
        <w:rPr>
          <w:rFonts w:hint="eastAsia" w:ascii="仿宋_GB2312" w:eastAsia="仿宋_GB2312"/>
          <w:sz w:val="32"/>
          <w:szCs w:val="32"/>
        </w:rPr>
      </w:pPr>
      <w:r>
        <w:rPr>
          <w:rFonts w:hint="eastAsia" w:ascii="楷体_GB2312" w:eastAsia="楷体_GB2312"/>
          <w:sz w:val="32"/>
          <w:szCs w:val="32"/>
        </w:rPr>
        <w:t>（十四）严格上岗工作规范。</w:t>
      </w:r>
      <w:r>
        <w:rPr>
          <w:rFonts w:hint="eastAsia" w:ascii="仿宋_GB2312" w:eastAsia="仿宋_GB2312"/>
          <w:sz w:val="32"/>
          <w:szCs w:val="32"/>
        </w:rPr>
        <w:t>考官及工作人员应当减少不必要外出，对因参加考级活动出行和流动时，均须严格遵守所在地疫情防控相关规定，要尽量避开密集人群，避免在公共场所长时间停留。工作人员工作期间，全程佩戴医用外科口罩或以上级别口罩。</w:t>
      </w:r>
    </w:p>
    <w:p>
      <w:pPr>
        <w:pStyle w:val="4"/>
        <w:adjustRightInd w:val="0"/>
        <w:snapToGrid w:val="0"/>
        <w:spacing w:line="600" w:lineRule="exact"/>
        <w:ind w:firstLine="640"/>
        <w:rPr>
          <w:rFonts w:hint="eastAsia" w:ascii="黑体" w:eastAsia="黑体"/>
          <w:sz w:val="32"/>
          <w:szCs w:val="32"/>
        </w:rPr>
      </w:pPr>
      <w:r>
        <w:rPr>
          <w:rFonts w:hint="eastAsia" w:ascii="黑体" w:hAnsi="黑体" w:eastAsia="黑体"/>
          <w:sz w:val="32"/>
          <w:szCs w:val="32"/>
        </w:rPr>
        <w:t>五、应急管理</w:t>
      </w:r>
    </w:p>
    <w:p>
      <w:pPr>
        <w:pStyle w:val="4"/>
        <w:adjustRightInd w:val="0"/>
        <w:snapToGrid w:val="0"/>
        <w:spacing w:line="600" w:lineRule="exact"/>
        <w:ind w:firstLine="640"/>
        <w:rPr>
          <w:rFonts w:hint="eastAsia" w:ascii="仿宋_GB2312" w:hAnsi="Calibri" w:eastAsia="仿宋_GB2312"/>
          <w:sz w:val="32"/>
          <w:szCs w:val="32"/>
        </w:rPr>
      </w:pPr>
      <w:r>
        <w:rPr>
          <w:rFonts w:hint="eastAsia" w:ascii="楷体_GB2312" w:eastAsia="楷体_GB2312"/>
          <w:sz w:val="32"/>
          <w:szCs w:val="32"/>
        </w:rPr>
        <w:t>（十五）压实主体责任。</w:t>
      </w:r>
      <w:r>
        <w:rPr>
          <w:rFonts w:hint="eastAsia" w:ascii="仿宋_GB2312" w:eastAsia="仿宋_GB2312"/>
          <w:sz w:val="32"/>
          <w:szCs w:val="32"/>
        </w:rPr>
        <w:t>考级机构应进一步压实疫情防控主体责任，完善疫情防控工作制度，健全应急机制，完善应急预案，加强与卫生健康部门、疾控机构、就近定点医疗机构、社区卫生服务中心的沟通协调，接受专业指导，明确疫情防控应急措施和处置流程，严防恢复现场考级活动引发各类安全事故。</w:t>
      </w:r>
    </w:p>
    <w:p>
      <w:pPr>
        <w:pStyle w:val="4"/>
        <w:adjustRightInd w:val="0"/>
        <w:snapToGrid w:val="0"/>
        <w:spacing w:line="600" w:lineRule="exact"/>
        <w:ind w:firstLine="640"/>
        <w:rPr>
          <w:rFonts w:hint="eastAsia" w:ascii="仿宋_GB2312" w:eastAsia="仿宋_GB2312"/>
          <w:sz w:val="32"/>
          <w:szCs w:val="32"/>
        </w:rPr>
      </w:pPr>
      <w:r>
        <w:rPr>
          <w:rFonts w:hint="eastAsia" w:ascii="楷体_GB2312" w:eastAsia="楷体_GB2312"/>
          <w:sz w:val="32"/>
          <w:szCs w:val="32"/>
        </w:rPr>
        <w:t>（十六）强化应急处置。</w:t>
      </w:r>
      <w:r>
        <w:rPr>
          <w:rFonts w:hint="eastAsia" w:ascii="仿宋_GB2312" w:eastAsia="仿宋_GB2312"/>
          <w:sz w:val="32"/>
          <w:szCs w:val="32"/>
        </w:rPr>
        <w:t>考级机构应加强对承办单位疫情防控管理，指导承办单位制定疫情处置方案，密切与属地管理的信息共享与沟通配合。在现场考级活动中如出现疑似症状考生，考点应当立即启动应急预案，暂停考试并在专业机构的指导下做好现场管理，避免恐慌，配合卫生健康部门做好密切接触者排查管理和隔离措施，及时做好应对处置工作。</w:t>
      </w:r>
    </w:p>
    <w:p>
      <w:pPr>
        <w:pStyle w:val="4"/>
        <w:adjustRightInd w:val="0"/>
        <w:snapToGrid w:val="0"/>
        <w:spacing w:line="600" w:lineRule="exact"/>
        <w:ind w:firstLine="640"/>
        <w:rPr>
          <w:rFonts w:hint="eastAsia" w:ascii="黑体" w:eastAsia="黑体"/>
          <w:sz w:val="32"/>
          <w:szCs w:val="32"/>
        </w:rPr>
      </w:pPr>
      <w:r>
        <w:rPr>
          <w:rFonts w:hint="eastAsia" w:ascii="黑体" w:hAnsi="黑体" w:eastAsia="黑体"/>
          <w:sz w:val="32"/>
          <w:szCs w:val="32"/>
        </w:rPr>
        <w:t>六、监督检查</w:t>
      </w:r>
      <w:r>
        <w:rPr>
          <w:rFonts w:hint="eastAsia" w:ascii="黑体" w:eastAsia="黑体"/>
          <w:sz w:val="32"/>
          <w:szCs w:val="32"/>
        </w:rPr>
        <w:t xml:space="preserve"> </w:t>
      </w:r>
    </w:p>
    <w:p>
      <w:pPr>
        <w:pStyle w:val="4"/>
        <w:adjustRightInd w:val="0"/>
        <w:snapToGrid w:val="0"/>
        <w:spacing w:line="600" w:lineRule="exact"/>
        <w:ind w:firstLine="640"/>
        <w:rPr>
          <w:rFonts w:hint="eastAsia" w:ascii="仿宋_GB2312" w:hAnsi="Calibri" w:eastAsia="仿宋_GB2312"/>
          <w:sz w:val="32"/>
          <w:szCs w:val="32"/>
        </w:rPr>
      </w:pPr>
      <w:r>
        <w:rPr>
          <w:rFonts w:hint="eastAsia" w:ascii="楷体_GB2312" w:eastAsia="楷体_GB2312"/>
          <w:sz w:val="32"/>
          <w:szCs w:val="32"/>
        </w:rPr>
        <w:t>（十七）开展检查督导。</w:t>
      </w:r>
      <w:r>
        <w:rPr>
          <w:rFonts w:hint="eastAsia" w:ascii="仿宋_GB2312" w:eastAsia="仿宋_GB2312"/>
          <w:sz w:val="32"/>
          <w:szCs w:val="32"/>
        </w:rPr>
        <w:t>各地文化和旅游行政部门要加强疫情防控监督检查力度，通过明查暗访、考前询问、考后调查、畅通社会反映渠道等多种方式，深入考级现场开展疫情防控检查和督导，确保考级机构和承办单位落实好各项疫情防控措施,坚决防止出现考级疫情防控监管真空地带。</w:t>
      </w:r>
    </w:p>
    <w:p>
      <w:pPr>
        <w:pStyle w:val="4"/>
        <w:adjustRightInd w:val="0"/>
        <w:snapToGrid w:val="0"/>
        <w:spacing w:line="600" w:lineRule="exact"/>
        <w:ind w:firstLine="640"/>
        <w:rPr>
          <w:rFonts w:ascii="仿宋_GB2312" w:eastAsia="仿宋_GB2312"/>
          <w:sz w:val="32"/>
          <w:szCs w:val="32"/>
        </w:rPr>
      </w:pPr>
      <w:r>
        <w:rPr>
          <w:rFonts w:hint="eastAsia" w:ascii="楷体_GB2312" w:eastAsia="楷体_GB2312"/>
          <w:sz w:val="32"/>
          <w:szCs w:val="32"/>
        </w:rPr>
        <w:t>（十八）及时警示纠正。</w:t>
      </w:r>
      <w:r>
        <w:rPr>
          <w:rFonts w:hint="eastAsia" w:ascii="仿宋_GB2312" w:eastAsia="仿宋_GB2312"/>
          <w:sz w:val="32"/>
          <w:szCs w:val="32"/>
        </w:rPr>
        <w:t>对于麻痹大意、消极应付现象要进行警示、坚决纠正，对于风险隐患、漏洞短板要及时发现、有力处置，不放过一处细节，坚决整改到位。</w:t>
      </w:r>
    </w:p>
    <w:p>
      <w:pPr>
        <w:pStyle w:val="4"/>
        <w:adjustRightInd w:val="0"/>
        <w:snapToGrid w:val="0"/>
        <w:spacing w:line="600" w:lineRule="exact"/>
        <w:rPr>
          <w:rFonts w:hint="eastAsia" w:ascii="仿宋_GB2312" w:eastAsia="仿宋_GB2312"/>
          <w:sz w:val="28"/>
          <w:szCs w:val="28"/>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4978400</wp:posOffset>
                </wp:positionH>
                <wp:positionV relativeFrom="paragraph">
                  <wp:posOffset>8519160</wp:posOffset>
                </wp:positionV>
                <wp:extent cx="812800" cy="495300"/>
                <wp:effectExtent l="0" t="0" r="10160" b="7620"/>
                <wp:wrapNone/>
                <wp:docPr id="2" name="矩形 2"/>
                <wp:cNvGraphicFramePr/>
                <a:graphic xmlns:a="http://schemas.openxmlformats.org/drawingml/2006/main">
                  <a:graphicData uri="http://schemas.microsoft.com/office/word/2010/wordprocessingShape">
                    <wps:wsp>
                      <wps:cNvSpPr/>
                      <wps:spPr>
                        <a:xfrm>
                          <a:off x="0" y="0"/>
                          <a:ext cx="812800" cy="4953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92pt;margin-top:670.8pt;height:39pt;width:64pt;z-index:251658240;mso-width-relative:page;mso-height-relative:page;" fillcolor="#FFFFFF" filled="t" stroked="f" coordsize="21600,21600" o:gfxdata="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1TUza2QAAAA0BAAAPAAAAAAAAAAEAIAAAACIAAABk&#10;cnMvZG93bnJldi54bWxQSwECFAAUAAAACACHTuJAL/+Mo5MBAAAQAwAADgAAAAAAAAABACAAAAAo&#10;AQAAZHJzL2Uyb0RvYy54bWxQSwUGAAAAAAYABgBZAQAALQUAAAAA&#10;">
                <v:fill on="t" focussize="0,0"/>
                <v:stroke on="f"/>
                <v:imagedata o:title=""/>
                <o:lock v:ext="edit" aspectratio="f"/>
              </v:rect>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1282065</wp:posOffset>
                </wp:positionV>
                <wp:extent cx="812800" cy="495300"/>
                <wp:effectExtent l="0" t="0" r="10160" b="7620"/>
                <wp:wrapNone/>
                <wp:docPr id="1" name="矩形 1"/>
                <wp:cNvGraphicFramePr/>
                <a:graphic xmlns:a="http://schemas.openxmlformats.org/drawingml/2006/main">
                  <a:graphicData uri="http://schemas.microsoft.com/office/word/2010/wordprocessingShape">
                    <wps:wsp>
                      <wps:cNvSpPr/>
                      <wps:spPr>
                        <a:xfrm>
                          <a:off x="0" y="0"/>
                          <a:ext cx="812800" cy="4953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6pt;margin-top:100.95pt;height:39pt;width:64pt;z-index:251659264;mso-width-relative:page;mso-height-relative:page;" fillcolor="#FFFFFF" filled="t" stroked="f" coordsize="21600,21600" o:gfxdata="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OnucdgAAAAKAQAADwAAAAAAAAABACAAAAAiAAAAZHJz&#10;L2Rvd25yZXYueG1sUEsBAhQAFAAAAAgAh07iQKG17AuSAQAAEAMAAA4AAAAAAAAAAQAgAAAAJwEA&#10;AGRycy9lMm9Eb2MueG1sUEsFBgAAAAAGAAYAWQEAACsFAAAAAA==&#10;">
                <v:fill on="t" focussize="0,0"/>
                <v:stroke on="f"/>
                <v:imagedata o:title=""/>
                <o:lock v:ext="edit" aspectratio="f"/>
              </v:rect>
            </w:pict>
          </mc:Fallback>
        </mc:AlternateContent>
      </w:r>
    </w:p>
    <w:p/>
    <w:sectPr>
      <w:headerReference r:id="rId3" w:type="default"/>
      <w:footerReference r:id="rId4" w:type="default"/>
      <w:footerReference r:id="rId5" w:type="even"/>
      <w:pgSz w:w="11906" w:h="16838"/>
      <w:pgMar w:top="2098" w:right="1531" w:bottom="1418" w:left="1531" w:header="992" w:footer="992"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仿宋_GB2312"/>
        <w:sz w:val="24"/>
        <w:szCs w:val="24"/>
      </w:rPr>
    </w:pPr>
    <w:r>
      <w:rPr>
        <w:rStyle w:val="7"/>
        <w:rFonts w:hint="eastAsia" w:ascii="仿宋_GB2312"/>
        <w:sz w:val="24"/>
        <w:szCs w:val="24"/>
      </w:rPr>
      <w:t>—</w:t>
    </w:r>
    <w:r>
      <w:rPr>
        <w:rStyle w:val="7"/>
        <w:rFonts w:hint="eastAsia" w:ascii="宋体" w:hAnsi="宋体" w:eastAsia="宋体"/>
        <w:sz w:val="24"/>
        <w:szCs w:val="24"/>
      </w:rPr>
      <w:fldChar w:fldCharType="begin"/>
    </w:r>
    <w:r>
      <w:rPr>
        <w:rStyle w:val="7"/>
        <w:rFonts w:hint="eastAsia" w:ascii="宋体" w:hAnsi="宋体" w:eastAsia="宋体"/>
        <w:sz w:val="24"/>
        <w:szCs w:val="24"/>
      </w:rPr>
      <w:instrText xml:space="preserve">PAGE  </w:instrText>
    </w:r>
    <w:r>
      <w:rPr>
        <w:rStyle w:val="7"/>
        <w:rFonts w:hint="eastAsia" w:ascii="宋体" w:hAnsi="宋体" w:eastAsia="宋体"/>
        <w:sz w:val="24"/>
        <w:szCs w:val="24"/>
      </w:rPr>
      <w:fldChar w:fldCharType="separate"/>
    </w:r>
    <w:r>
      <w:rPr>
        <w:rStyle w:val="7"/>
        <w:rFonts w:ascii="宋体" w:hAnsi="宋体" w:eastAsia="宋体"/>
        <w:sz w:val="24"/>
        <w:szCs w:val="24"/>
      </w:rPr>
      <w:t>4</w:t>
    </w:r>
    <w:r>
      <w:rPr>
        <w:rStyle w:val="7"/>
        <w:rFonts w:hint="eastAsia" w:ascii="宋体" w:hAnsi="宋体" w:eastAsia="宋体"/>
        <w:sz w:val="24"/>
        <w:szCs w:val="24"/>
      </w:rPr>
      <w:fldChar w:fldCharType="end"/>
    </w:r>
    <w:r>
      <w:rPr>
        <w:rStyle w:val="7"/>
        <w:rFonts w:hint="eastAsia" w:ascii="仿宋_GB2312"/>
        <w:sz w:val="24"/>
        <w:szCs w:val="24"/>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9135AB"/>
    <w:rsid w:val="70E4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5">
    <w:name w:val="Default Paragraph Font"/>
    <w:link w:val="6"/>
    <w:semiHidden/>
    <w:qFormat/>
    <w:uiPriority w:val="0"/>
    <w:rPr>
      <w:rFonts w:eastAsia="宋体"/>
      <w:color w:val="auto"/>
      <w:sz w:val="21"/>
      <w:szCs w:val="24"/>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hAnsi="宋体" w:eastAsia="宋体" w:cs="宋体"/>
      <w:color w:val="auto"/>
      <w:kern w:val="0"/>
      <w:sz w:val="24"/>
      <w:szCs w:val="24"/>
    </w:rPr>
  </w:style>
  <w:style w:type="paragraph" w:customStyle="1" w:styleId="6">
    <w:name w:val="Char Char1 Char Char Char Char"/>
    <w:basedOn w:val="1"/>
    <w:link w:val="5"/>
    <w:semiHidden/>
    <w:qFormat/>
    <w:uiPriority w:val="0"/>
    <w:rPr>
      <w:rFonts w:eastAsia="宋体"/>
      <w:color w:val="auto"/>
      <w:sz w:val="21"/>
      <w:szCs w:val="24"/>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2021-11-10T08:49:00Z</dcterms:created>
  <dc:creator>LL</dc:creator>
  <cp:lastModifiedBy>LL</cp:lastModifiedBy>
  <dcterms:modified xsi:type="dcterms:W3CDTF">2021-11-10T10:05:21Z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