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2027年中国“东亚文化之都”评分导则</w:t>
      </w:r>
    </w:p>
    <w:p>
      <w:pPr>
        <w:spacing w:line="580" w:lineRule="exact"/>
        <w:ind w:firstLine="720" w:firstLineChars="200"/>
        <w:rPr>
          <w:rFonts w:hint="eastAsia" w:ascii="宋体" w:hAnsi="宋体" w:eastAsia="宋体" w:cs="方正小标宋简体"/>
          <w:sz w:val="36"/>
          <w:szCs w:val="36"/>
        </w:rPr>
      </w:pPr>
      <w:r>
        <w:rPr>
          <w:rFonts w:hint="eastAsia" w:ascii="宋体" w:hAnsi="宋体" w:eastAsia="宋体" w:cs="方正小标宋简体"/>
          <w:sz w:val="36"/>
          <w:szCs w:val="36"/>
        </w:rPr>
        <w:t xml:space="preserve"> </w:t>
      </w:r>
    </w:p>
    <w:tbl>
      <w:tblPr>
        <w:tblStyle w:val="5"/>
        <w:tblW w:w="87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671"/>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874" w:type="dxa"/>
            <w:vAlign w:val="center"/>
          </w:tcPr>
          <w:p>
            <w:pPr>
              <w:spacing w:line="500" w:lineRule="exact"/>
              <w:jc w:val="center"/>
              <w:rPr>
                <w:rFonts w:ascii="黑体" w:hAnsi="黑体" w:eastAsia="黑体"/>
              </w:rPr>
            </w:pPr>
            <w:r>
              <w:rPr>
                <w:rFonts w:hint="eastAsia" w:ascii="黑体" w:hAnsi="黑体" w:eastAsia="黑体"/>
              </w:rPr>
              <w:t>序号</w:t>
            </w:r>
          </w:p>
        </w:tc>
        <w:tc>
          <w:tcPr>
            <w:tcW w:w="1671" w:type="dxa"/>
            <w:vAlign w:val="center"/>
          </w:tcPr>
          <w:p>
            <w:pPr>
              <w:spacing w:line="500" w:lineRule="exact"/>
              <w:jc w:val="center"/>
              <w:rPr>
                <w:rFonts w:ascii="黑体" w:hAnsi="黑体" w:eastAsia="黑体"/>
              </w:rPr>
            </w:pPr>
            <w:r>
              <w:rPr>
                <w:rFonts w:hint="eastAsia" w:ascii="黑体" w:hAnsi="黑体" w:eastAsia="黑体"/>
              </w:rPr>
              <w:t>评价指标</w:t>
            </w:r>
          </w:p>
        </w:tc>
        <w:tc>
          <w:tcPr>
            <w:tcW w:w="6164" w:type="dxa"/>
            <w:vAlign w:val="center"/>
          </w:tcPr>
          <w:p>
            <w:pPr>
              <w:spacing w:line="500" w:lineRule="exact"/>
              <w:ind w:firstLine="320"/>
              <w:jc w:val="center"/>
              <w:rPr>
                <w:rFonts w:ascii="黑体" w:hAnsi="黑体" w:eastAsia="黑体"/>
              </w:rPr>
            </w:pPr>
            <w:r>
              <w:rPr>
                <w:rFonts w:hint="eastAsia" w:ascii="黑体" w:hAnsi="黑体" w:eastAsia="黑体"/>
              </w:rPr>
              <w:t>评分项目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874" w:type="dxa"/>
            <w:vAlign w:val="center"/>
          </w:tcPr>
          <w:p>
            <w:pPr>
              <w:spacing w:line="500" w:lineRule="exact"/>
              <w:rPr>
                <w:rFonts w:ascii="仿宋_GB2312"/>
                <w:b/>
                <w:bCs/>
              </w:rPr>
            </w:pPr>
            <w:r>
              <w:rPr>
                <w:rFonts w:hint="eastAsia" w:ascii="仿宋_GB2312"/>
                <w:b/>
                <w:bCs/>
              </w:rPr>
              <w:t>1.</w:t>
            </w:r>
          </w:p>
        </w:tc>
        <w:tc>
          <w:tcPr>
            <w:tcW w:w="7835" w:type="dxa"/>
            <w:gridSpan w:val="2"/>
            <w:vAlign w:val="center"/>
          </w:tcPr>
          <w:p>
            <w:pPr>
              <w:spacing w:line="500" w:lineRule="exact"/>
              <w:rPr>
                <w:rFonts w:ascii="仿宋_GB2312"/>
                <w:b/>
                <w:bCs/>
              </w:rPr>
            </w:pPr>
            <w:r>
              <w:rPr>
                <w:rFonts w:hint="eastAsia" w:ascii="仿宋_GB2312"/>
                <w:b/>
                <w:bCs/>
              </w:rPr>
              <w:t>城市文化特色与文化创新创造（100分）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1.1</w:t>
            </w:r>
          </w:p>
        </w:tc>
        <w:tc>
          <w:tcPr>
            <w:tcW w:w="1671" w:type="dxa"/>
            <w:vAlign w:val="center"/>
          </w:tcPr>
          <w:p>
            <w:pPr>
              <w:spacing w:line="500" w:lineRule="exact"/>
              <w:rPr>
                <w:rFonts w:ascii="仿宋_GB2312"/>
              </w:rPr>
            </w:pPr>
            <w:r>
              <w:rPr>
                <w:rFonts w:hint="eastAsia" w:ascii="仿宋_GB2312"/>
              </w:rPr>
              <w:t>文化底蕴与文化影响力</w:t>
            </w:r>
          </w:p>
        </w:tc>
        <w:tc>
          <w:tcPr>
            <w:tcW w:w="6164" w:type="dxa"/>
            <w:vAlign w:val="center"/>
          </w:tcPr>
          <w:p>
            <w:pPr>
              <w:spacing w:line="500" w:lineRule="exact"/>
              <w:rPr>
                <w:rFonts w:ascii="仿宋_GB2312"/>
              </w:rPr>
            </w:pPr>
            <w:r>
              <w:rPr>
                <w:rFonts w:hint="eastAsia" w:ascii="仿宋_GB2312"/>
              </w:rPr>
              <w:t>城市具有代表性文化记忆、物质或非物质文化遗产资源体系，形成鲜明的城市文化形态、景观风貌和符号体系。“文化强市”建设有规划、有任务、有抓手、扎实推进，发展新质生产力的文化氛围浓厚。（30分）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1.2</w:t>
            </w:r>
          </w:p>
        </w:tc>
        <w:tc>
          <w:tcPr>
            <w:tcW w:w="1671" w:type="dxa"/>
            <w:vAlign w:val="center"/>
          </w:tcPr>
          <w:p>
            <w:pPr>
              <w:spacing w:line="500" w:lineRule="exact"/>
              <w:rPr>
                <w:rFonts w:ascii="仿宋_GB2312"/>
              </w:rPr>
            </w:pPr>
            <w:r>
              <w:rPr>
                <w:rFonts w:hint="eastAsia" w:ascii="仿宋_GB2312"/>
              </w:rPr>
              <w:t>文化创新创造</w:t>
            </w:r>
          </w:p>
        </w:tc>
        <w:tc>
          <w:tcPr>
            <w:tcW w:w="6164" w:type="dxa"/>
            <w:vAlign w:val="center"/>
          </w:tcPr>
          <w:p>
            <w:pPr>
              <w:spacing w:line="500" w:lineRule="exact"/>
              <w:rPr>
                <w:rFonts w:ascii="仿宋_GB2312"/>
              </w:rPr>
            </w:pPr>
            <w:r>
              <w:rPr>
                <w:rFonts w:hint="eastAsia" w:ascii="仿宋_GB2312"/>
              </w:rPr>
              <w:t>有对城市传统特色文化元素当代挖掘和表达，积极打造特色鲜明的城市文化IP。依托城市文化资源禀赋，建设独具特色的文化商圈、文化街巷、文化广场、文化步道、旅游风景道、文化主题公园等。具有吸引人才、支持创新、鼓励探索的政策与环境。（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1.3</w:t>
            </w:r>
          </w:p>
        </w:tc>
        <w:tc>
          <w:tcPr>
            <w:tcW w:w="1671" w:type="dxa"/>
            <w:vAlign w:val="center"/>
          </w:tcPr>
          <w:p>
            <w:pPr>
              <w:spacing w:line="500" w:lineRule="exact"/>
              <w:rPr>
                <w:rFonts w:ascii="仿宋_GB2312"/>
              </w:rPr>
            </w:pPr>
            <w:r>
              <w:rPr>
                <w:rFonts w:hint="eastAsia" w:ascii="仿宋_GB2312"/>
              </w:rPr>
              <w:t>“东亚文化之都”活动体系</w:t>
            </w:r>
          </w:p>
        </w:tc>
        <w:tc>
          <w:tcPr>
            <w:tcW w:w="6164" w:type="dxa"/>
            <w:vAlign w:val="top"/>
          </w:tcPr>
          <w:p>
            <w:pPr>
              <w:spacing w:line="500" w:lineRule="exact"/>
              <w:rPr>
                <w:rFonts w:ascii="仿宋_GB2312"/>
              </w:rPr>
            </w:pPr>
            <w:r>
              <w:rPr>
                <w:rFonts w:hint="eastAsia" w:ascii="仿宋_GB2312"/>
              </w:rPr>
              <w:t>紧密结合城市优势、文化底蕴和文化特色，设计并打造主体突出、针对性强、中外联动、覆盖面广、广泛参与、贯穿全年的“东亚文化之都”活动年活动体系。（40分）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2.</w:t>
            </w:r>
          </w:p>
        </w:tc>
        <w:tc>
          <w:tcPr>
            <w:tcW w:w="7835" w:type="dxa"/>
            <w:gridSpan w:val="2"/>
            <w:vAlign w:val="center"/>
          </w:tcPr>
          <w:p>
            <w:pPr>
              <w:spacing w:line="500" w:lineRule="exact"/>
              <w:rPr>
                <w:rFonts w:ascii="仿宋_GB2312"/>
                <w:b/>
                <w:bCs/>
              </w:rPr>
            </w:pPr>
            <w:r>
              <w:rPr>
                <w:rFonts w:hint="eastAsia" w:ascii="仿宋_GB2312"/>
                <w:b/>
                <w:bCs/>
              </w:rPr>
              <w:t>优秀传统文化保护与传承（120分）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2.1</w:t>
            </w:r>
          </w:p>
        </w:tc>
        <w:tc>
          <w:tcPr>
            <w:tcW w:w="1671" w:type="dxa"/>
            <w:vAlign w:val="center"/>
          </w:tcPr>
          <w:p>
            <w:pPr>
              <w:spacing w:line="500" w:lineRule="exact"/>
              <w:rPr>
                <w:rFonts w:ascii="仿宋_GB2312"/>
              </w:rPr>
            </w:pPr>
            <w:r>
              <w:rPr>
                <w:rFonts w:hint="eastAsia" w:ascii="仿宋_GB2312"/>
              </w:rPr>
              <w:t>文物保护与利用</w:t>
            </w:r>
          </w:p>
        </w:tc>
        <w:tc>
          <w:tcPr>
            <w:tcW w:w="6164" w:type="dxa"/>
            <w:vAlign w:val="top"/>
          </w:tcPr>
          <w:p>
            <w:pPr>
              <w:spacing w:line="500" w:lineRule="exact"/>
              <w:rPr>
                <w:rFonts w:ascii="仿宋_GB2312"/>
              </w:rPr>
            </w:pPr>
            <w:r>
              <w:rPr>
                <w:rFonts w:hint="eastAsia" w:ascii="仿宋_GB2312"/>
              </w:rPr>
              <w:t>全面落实《中华人民共和国文物保护法》，坚持“保护第一、加强管理、挖掘价值、有效利用、让文物活起来”的新时代文物工作方针。守牢文物安全底线。（35分）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2.2</w:t>
            </w:r>
          </w:p>
        </w:tc>
        <w:tc>
          <w:tcPr>
            <w:tcW w:w="1671" w:type="dxa"/>
            <w:vAlign w:val="center"/>
          </w:tcPr>
          <w:p>
            <w:pPr>
              <w:spacing w:line="500" w:lineRule="exact"/>
              <w:rPr>
                <w:rFonts w:ascii="仿宋_GB2312"/>
              </w:rPr>
            </w:pPr>
            <w:r>
              <w:rPr>
                <w:rFonts w:hint="eastAsia" w:ascii="仿宋_GB2312"/>
              </w:rPr>
              <w:t>非物质文化遗产保护与传承</w:t>
            </w:r>
          </w:p>
        </w:tc>
        <w:tc>
          <w:tcPr>
            <w:tcW w:w="6164" w:type="dxa"/>
            <w:vAlign w:val="top"/>
          </w:tcPr>
          <w:p>
            <w:pPr>
              <w:spacing w:line="500" w:lineRule="exact"/>
              <w:rPr>
                <w:rFonts w:ascii="仿宋_GB2312"/>
              </w:rPr>
            </w:pPr>
            <w:r>
              <w:rPr>
                <w:rFonts w:hint="eastAsia" w:ascii="仿宋_GB2312"/>
              </w:rPr>
              <w:t>全面落实《中华人民共和国非物质文化遗产法》。有完善的非遗调查记录体系，非遗代表性项目和代表性传承人保护及传承机制健全，非遗项目活态传承形式多样、吸引力强。（35分）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2.3</w:t>
            </w:r>
          </w:p>
        </w:tc>
        <w:tc>
          <w:tcPr>
            <w:tcW w:w="1671" w:type="dxa"/>
            <w:vAlign w:val="center"/>
          </w:tcPr>
          <w:p>
            <w:pPr>
              <w:spacing w:line="500" w:lineRule="exact"/>
              <w:rPr>
                <w:rFonts w:ascii="仿宋_GB2312"/>
              </w:rPr>
            </w:pPr>
            <w:r>
              <w:rPr>
                <w:rFonts w:hint="eastAsia" w:ascii="仿宋_GB2312"/>
              </w:rPr>
              <w:t>民族民间文化艺术挖掘、传承、活化</w:t>
            </w:r>
          </w:p>
        </w:tc>
        <w:tc>
          <w:tcPr>
            <w:tcW w:w="6164" w:type="dxa"/>
            <w:vAlign w:val="center"/>
          </w:tcPr>
          <w:p>
            <w:pPr>
              <w:spacing w:line="500" w:lineRule="exact"/>
              <w:rPr>
                <w:rFonts w:ascii="仿宋_GB2312"/>
              </w:rPr>
            </w:pPr>
            <w:r>
              <w:rPr>
                <w:rFonts w:hint="eastAsia" w:ascii="仿宋_GB2312"/>
              </w:rPr>
              <w:t>建有当地特有的民族民间文化艺术项目活动场地，打造项目活动品牌，活动普及程度高。当地民族民间文化艺术传承发展与乡村文化振兴、乡村旅游、乡村特色文化产业紧密结合。（30分）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2.4</w:t>
            </w:r>
          </w:p>
        </w:tc>
        <w:tc>
          <w:tcPr>
            <w:tcW w:w="1671" w:type="dxa"/>
            <w:vAlign w:val="center"/>
          </w:tcPr>
          <w:p>
            <w:pPr>
              <w:spacing w:line="500" w:lineRule="exact"/>
              <w:rPr>
                <w:rFonts w:ascii="仿宋_GB2312"/>
              </w:rPr>
            </w:pPr>
            <w:r>
              <w:rPr>
                <w:rFonts w:hint="eastAsia" w:ascii="仿宋_GB2312"/>
              </w:rPr>
              <w:t>知识产权保护</w:t>
            </w:r>
          </w:p>
        </w:tc>
        <w:tc>
          <w:tcPr>
            <w:tcW w:w="6164" w:type="dxa"/>
            <w:vAlign w:val="top"/>
          </w:tcPr>
          <w:p>
            <w:pPr>
              <w:spacing w:line="500" w:lineRule="exact"/>
              <w:rPr>
                <w:rFonts w:ascii="仿宋_GB2312"/>
              </w:rPr>
            </w:pPr>
            <w:r>
              <w:rPr>
                <w:rFonts w:hint="eastAsia" w:ascii="仿宋_GB2312"/>
              </w:rPr>
              <w:t>知识产权保护纳入文化市场综合执法范畴。（10分）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2.5</w:t>
            </w:r>
          </w:p>
        </w:tc>
        <w:tc>
          <w:tcPr>
            <w:tcW w:w="1671" w:type="dxa"/>
            <w:vAlign w:val="center"/>
          </w:tcPr>
          <w:p>
            <w:pPr>
              <w:spacing w:line="500" w:lineRule="exact"/>
              <w:rPr>
                <w:rFonts w:ascii="仿宋_GB2312"/>
              </w:rPr>
            </w:pPr>
            <w:r>
              <w:rPr>
                <w:rFonts w:hint="eastAsia" w:ascii="仿宋_GB2312"/>
              </w:rPr>
              <w:t>加分项</w:t>
            </w:r>
          </w:p>
        </w:tc>
        <w:tc>
          <w:tcPr>
            <w:tcW w:w="6164" w:type="dxa"/>
            <w:vAlign w:val="top"/>
          </w:tcPr>
          <w:p>
            <w:pPr>
              <w:spacing w:line="480" w:lineRule="exact"/>
              <w:ind w:left="320" w:hanging="320" w:hangingChars="100"/>
              <w:rPr>
                <w:rFonts w:ascii="仿宋_GB2312"/>
              </w:rPr>
            </w:pPr>
            <w:r>
              <w:rPr>
                <w:rFonts w:hint="eastAsia" w:ascii="仿宋_GB2312"/>
              </w:rPr>
              <w:t>1.有文化遗产被联合国教科文组织列入《世界遗产名录》，或有文献遗产被联合国教科文组织列入《世界记忆名录》，或有列入联合国教科文组织非遗名录、名册项目相关的国家级非遗代表性项目。（10分）</w:t>
            </w:r>
          </w:p>
          <w:p>
            <w:pPr>
              <w:spacing w:line="480" w:lineRule="exact"/>
              <w:ind w:left="320" w:hanging="320" w:hangingChars="100"/>
              <w:rPr>
                <w:rFonts w:hint="eastAsia" w:ascii="仿宋_GB2312"/>
              </w:rPr>
            </w:pPr>
            <w:r>
              <w:rPr>
                <w:rFonts w:hint="eastAsia" w:ascii="仿宋_GB2312"/>
              </w:rPr>
              <w:t>2.获得“国家文物保护利用示范区”或“国家级文化生态保护（实验）区”称号。（10分）</w:t>
            </w:r>
          </w:p>
          <w:p>
            <w:pPr>
              <w:spacing w:line="480" w:lineRule="exact"/>
              <w:ind w:left="320" w:hanging="320" w:hangingChars="100"/>
              <w:rPr>
                <w:rFonts w:ascii="仿宋_GB2312"/>
              </w:rPr>
            </w:pPr>
            <w:r>
              <w:rPr>
                <w:rFonts w:hint="eastAsia" w:ascii="仿宋_GB2312"/>
              </w:rPr>
              <w:t>3.在文物保护利用、非物质文化遗产保护传承、民族民间文化艺术振兴发展等方面有获得省部级以上认定、表彰的创新案例或典型项目。（5分）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rPr>
                <w:rFonts w:ascii="仿宋_GB2312"/>
                <w:b/>
                <w:bCs/>
              </w:rPr>
            </w:pPr>
            <w:r>
              <w:rPr>
                <w:rFonts w:hint="eastAsia" w:ascii="仿宋_GB2312"/>
                <w:b/>
                <w:bCs/>
              </w:rPr>
              <w:t>3.</w:t>
            </w:r>
          </w:p>
        </w:tc>
        <w:tc>
          <w:tcPr>
            <w:tcW w:w="7835" w:type="dxa"/>
            <w:gridSpan w:val="2"/>
            <w:vAlign w:val="center"/>
          </w:tcPr>
          <w:p>
            <w:pPr>
              <w:spacing w:line="500" w:lineRule="exact"/>
              <w:jc w:val="left"/>
              <w:rPr>
                <w:rFonts w:ascii="仿宋_GB2312"/>
                <w:b/>
                <w:bCs/>
              </w:rPr>
            </w:pPr>
            <w:r>
              <w:rPr>
                <w:rFonts w:hint="eastAsia" w:ascii="仿宋_GB2312"/>
                <w:b/>
                <w:bCs/>
              </w:rPr>
              <w:t>文艺作品创作与传播（100分）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rPr>
                <w:rFonts w:ascii="仿宋_GB2312"/>
              </w:rPr>
            </w:pPr>
            <w:r>
              <w:rPr>
                <w:rFonts w:hint="eastAsia" w:ascii="仿宋_GB2312"/>
              </w:rPr>
              <w:t>3.1</w:t>
            </w:r>
          </w:p>
        </w:tc>
        <w:tc>
          <w:tcPr>
            <w:tcW w:w="1671" w:type="dxa"/>
            <w:vAlign w:val="center"/>
          </w:tcPr>
          <w:p>
            <w:pPr>
              <w:spacing w:line="500" w:lineRule="exact"/>
              <w:rPr>
                <w:rFonts w:ascii="仿宋_GB2312"/>
              </w:rPr>
            </w:pPr>
            <w:r>
              <w:rPr>
                <w:rFonts w:hint="eastAsia" w:ascii="仿宋_GB2312"/>
              </w:rPr>
              <w:t>打造文艺精品</w:t>
            </w:r>
          </w:p>
        </w:tc>
        <w:tc>
          <w:tcPr>
            <w:tcW w:w="6164" w:type="dxa"/>
            <w:vAlign w:val="top"/>
          </w:tcPr>
          <w:p>
            <w:pPr>
              <w:spacing w:line="500" w:lineRule="exact"/>
              <w:rPr>
                <w:rFonts w:ascii="仿宋_GB2312"/>
              </w:rPr>
            </w:pPr>
            <w:r>
              <w:rPr>
                <w:rFonts w:hint="eastAsia" w:ascii="仿宋_GB2312"/>
              </w:rPr>
              <w:t>有代表国家文化形象、传承优秀传统文化、体现地方文化特色的优秀舞台艺术作品、影视作品、美术作品、旅游演艺作品，以及新媒体音视频作品、数字文化艺术作品、人工智能艺术作品等。（20分）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3.2</w:t>
            </w:r>
          </w:p>
        </w:tc>
        <w:tc>
          <w:tcPr>
            <w:tcW w:w="1671" w:type="dxa"/>
            <w:vAlign w:val="center"/>
          </w:tcPr>
          <w:p>
            <w:pPr>
              <w:spacing w:line="500" w:lineRule="exact"/>
              <w:rPr>
                <w:rFonts w:ascii="仿宋_GB2312"/>
              </w:rPr>
            </w:pPr>
            <w:r>
              <w:rPr>
                <w:rFonts w:hint="eastAsia" w:ascii="仿宋_GB2312"/>
              </w:rPr>
              <w:t>文艺院团建设</w:t>
            </w:r>
          </w:p>
        </w:tc>
        <w:tc>
          <w:tcPr>
            <w:tcW w:w="6164" w:type="dxa"/>
            <w:vAlign w:val="top"/>
          </w:tcPr>
          <w:p>
            <w:pPr>
              <w:spacing w:line="500" w:lineRule="exact"/>
              <w:rPr>
                <w:rFonts w:ascii="仿宋_GB2312"/>
              </w:rPr>
            </w:pPr>
            <w:r>
              <w:rPr>
                <w:rFonts w:hint="eastAsia" w:ascii="仿宋_GB2312"/>
              </w:rPr>
              <w:t>有创演质量、管理水平、服务效能高且有特色的文艺院团，具备支撑活动年重要活动的能力。（20分）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3.3</w:t>
            </w:r>
          </w:p>
        </w:tc>
        <w:tc>
          <w:tcPr>
            <w:tcW w:w="1671" w:type="dxa"/>
            <w:vAlign w:val="center"/>
          </w:tcPr>
          <w:p>
            <w:pPr>
              <w:spacing w:line="500" w:lineRule="exact"/>
              <w:rPr>
                <w:rFonts w:ascii="仿宋_GB2312"/>
              </w:rPr>
            </w:pPr>
            <w:r>
              <w:rPr>
                <w:rFonts w:hint="eastAsia" w:ascii="仿宋_GB2312"/>
              </w:rPr>
              <w:t>舞台作品演出机制健全</w:t>
            </w:r>
          </w:p>
        </w:tc>
        <w:tc>
          <w:tcPr>
            <w:tcW w:w="6164" w:type="dxa"/>
            <w:vAlign w:val="top"/>
          </w:tcPr>
          <w:p>
            <w:pPr>
              <w:spacing w:line="500" w:lineRule="exact"/>
              <w:rPr>
                <w:rFonts w:ascii="仿宋_GB2312"/>
              </w:rPr>
            </w:pPr>
            <w:r>
              <w:rPr>
                <w:rFonts w:hint="eastAsia" w:ascii="仿宋_GB2312"/>
              </w:rPr>
              <w:t>有常态化的兼顾票房和惠民的舞台作品演出机制。有线上线下相结合的舞台演出机制。（20分）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3.4</w:t>
            </w:r>
          </w:p>
        </w:tc>
        <w:tc>
          <w:tcPr>
            <w:tcW w:w="1671" w:type="dxa"/>
            <w:vAlign w:val="center"/>
          </w:tcPr>
          <w:p>
            <w:pPr>
              <w:spacing w:line="500" w:lineRule="exact"/>
              <w:rPr>
                <w:rFonts w:ascii="仿宋_GB2312"/>
              </w:rPr>
            </w:pPr>
            <w:r>
              <w:rPr>
                <w:rFonts w:hint="eastAsia" w:ascii="仿宋_GB2312"/>
              </w:rPr>
              <w:t>新大众文艺蓬勃开展</w:t>
            </w:r>
          </w:p>
        </w:tc>
        <w:tc>
          <w:tcPr>
            <w:tcW w:w="6164" w:type="dxa"/>
            <w:vAlign w:val="center"/>
          </w:tcPr>
          <w:p>
            <w:pPr>
              <w:spacing w:line="500" w:lineRule="exact"/>
              <w:rPr>
                <w:rFonts w:ascii="仿宋_GB2312"/>
              </w:rPr>
            </w:pPr>
            <w:r>
              <w:rPr>
                <w:rFonts w:hint="eastAsia" w:ascii="仿宋_GB2312"/>
              </w:rPr>
              <w:t>以人民群众自我创造、自我表现、自我服务且与互联网、新媒体紧密结合为显著特色的新大众文艺蓬勃健康发展。政府建立了培育、扶持、引导机制，有代表性作品、项目或活动等。（20分）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3.5</w:t>
            </w:r>
          </w:p>
        </w:tc>
        <w:tc>
          <w:tcPr>
            <w:tcW w:w="1671" w:type="dxa"/>
            <w:vAlign w:val="center"/>
          </w:tcPr>
          <w:p>
            <w:pPr>
              <w:spacing w:line="500" w:lineRule="exact"/>
              <w:rPr>
                <w:rFonts w:ascii="仿宋_GB2312"/>
              </w:rPr>
            </w:pPr>
            <w:r>
              <w:rPr>
                <w:rFonts w:hint="eastAsia" w:ascii="仿宋_GB2312"/>
              </w:rPr>
              <w:t>衍生品开发</w:t>
            </w:r>
          </w:p>
        </w:tc>
        <w:tc>
          <w:tcPr>
            <w:tcW w:w="6164" w:type="dxa"/>
            <w:vAlign w:val="center"/>
          </w:tcPr>
          <w:p>
            <w:pPr>
              <w:spacing w:line="500" w:lineRule="exact"/>
              <w:rPr>
                <w:rFonts w:ascii="仿宋_GB2312"/>
              </w:rPr>
            </w:pPr>
            <w:r>
              <w:rPr>
                <w:rFonts w:hint="eastAsia" w:ascii="仿宋_GB2312"/>
              </w:rPr>
              <w:t>能将代表性演出作品IP转化为文创商品，取得良好的社会和经济效益。（10分）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874" w:type="dxa"/>
            <w:vAlign w:val="center"/>
          </w:tcPr>
          <w:p>
            <w:pPr>
              <w:spacing w:line="500" w:lineRule="exact"/>
              <w:rPr>
                <w:rFonts w:ascii="仿宋_GB2312"/>
              </w:rPr>
            </w:pPr>
            <w:r>
              <w:rPr>
                <w:rFonts w:hint="eastAsia" w:ascii="仿宋_GB2312"/>
              </w:rPr>
              <w:t>3.6</w:t>
            </w:r>
          </w:p>
        </w:tc>
        <w:tc>
          <w:tcPr>
            <w:tcW w:w="1671" w:type="dxa"/>
            <w:vAlign w:val="center"/>
          </w:tcPr>
          <w:p>
            <w:pPr>
              <w:spacing w:line="500" w:lineRule="exact"/>
              <w:rPr>
                <w:rFonts w:ascii="仿宋_GB2312"/>
              </w:rPr>
            </w:pPr>
            <w:r>
              <w:rPr>
                <w:rFonts w:hint="eastAsia" w:ascii="仿宋_GB2312"/>
              </w:rPr>
              <w:t>加分项</w:t>
            </w:r>
          </w:p>
        </w:tc>
        <w:tc>
          <w:tcPr>
            <w:tcW w:w="6164" w:type="dxa"/>
            <w:vAlign w:val="center"/>
          </w:tcPr>
          <w:p>
            <w:pPr>
              <w:spacing w:line="480" w:lineRule="exact"/>
              <w:ind w:left="320" w:hanging="320" w:hangingChars="100"/>
              <w:rPr>
                <w:rFonts w:ascii="仿宋_GB2312"/>
              </w:rPr>
            </w:pPr>
            <w:r>
              <w:rPr>
                <w:rFonts w:hint="eastAsia" w:ascii="仿宋_GB2312"/>
              </w:rPr>
              <w:t>1.有获得精神文明建设“五个一工程”奖、中国文化艺术政府奖（文华奖、群星奖、动漫奖等）的作品。（10分）</w:t>
            </w:r>
          </w:p>
          <w:p>
            <w:pPr>
              <w:spacing w:line="480" w:lineRule="exact"/>
              <w:ind w:left="320" w:hanging="320" w:hangingChars="100"/>
              <w:rPr>
                <w:rFonts w:hint="eastAsia" w:ascii="仿宋_GB2312"/>
              </w:rPr>
            </w:pPr>
            <w:r>
              <w:rPr>
                <w:rFonts w:hint="eastAsia" w:ascii="仿宋_GB2312"/>
              </w:rPr>
              <w:t>2.有获得国家艺术基金资助的中大型文艺作品。（8分）</w:t>
            </w:r>
          </w:p>
          <w:p>
            <w:pPr>
              <w:spacing w:line="480" w:lineRule="exact"/>
              <w:ind w:left="320" w:hanging="320" w:hangingChars="100"/>
              <w:rPr>
                <w:rFonts w:hint="eastAsia" w:ascii="仿宋_GB2312"/>
              </w:rPr>
            </w:pPr>
            <w:r>
              <w:rPr>
                <w:rFonts w:hint="eastAsia" w:ascii="仿宋_GB2312"/>
              </w:rPr>
              <w:t>3.有获得省级文化艺术政府奖的作品。（8分）</w:t>
            </w:r>
          </w:p>
          <w:p>
            <w:pPr>
              <w:spacing w:line="480" w:lineRule="exact"/>
              <w:ind w:left="320" w:hanging="320" w:hangingChars="100"/>
              <w:rPr>
                <w:rFonts w:ascii="仿宋_GB2312"/>
              </w:rPr>
            </w:pPr>
            <w:r>
              <w:rPr>
                <w:rFonts w:hint="eastAsia" w:ascii="仿宋_GB2312"/>
              </w:rPr>
              <w:t>4.有获得省级艺术基金资助的文艺精品或文艺院团。（5分）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874" w:type="dxa"/>
            <w:vAlign w:val="center"/>
          </w:tcPr>
          <w:p>
            <w:pPr>
              <w:spacing w:line="500" w:lineRule="exact"/>
              <w:rPr>
                <w:rFonts w:ascii="仿宋_GB2312"/>
                <w:b/>
                <w:bCs/>
              </w:rPr>
            </w:pPr>
            <w:r>
              <w:rPr>
                <w:rFonts w:hint="eastAsia" w:ascii="仿宋_GB2312"/>
                <w:b/>
                <w:bCs/>
              </w:rPr>
              <w:t>4.</w:t>
            </w:r>
          </w:p>
        </w:tc>
        <w:tc>
          <w:tcPr>
            <w:tcW w:w="7835" w:type="dxa"/>
            <w:gridSpan w:val="2"/>
            <w:vAlign w:val="center"/>
          </w:tcPr>
          <w:p>
            <w:pPr>
              <w:spacing w:line="500" w:lineRule="exact"/>
              <w:rPr>
                <w:rFonts w:ascii="仿宋_GB2312"/>
                <w:b/>
                <w:bCs/>
              </w:rPr>
            </w:pPr>
            <w:r>
              <w:rPr>
                <w:rFonts w:hint="eastAsia" w:ascii="仿宋_GB2312"/>
                <w:b/>
                <w:bCs/>
              </w:rPr>
              <w:t>公共文化服务体系建设（120分）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4.1</w:t>
            </w:r>
          </w:p>
        </w:tc>
        <w:tc>
          <w:tcPr>
            <w:tcW w:w="1671" w:type="dxa"/>
            <w:vAlign w:val="center"/>
          </w:tcPr>
          <w:p>
            <w:pPr>
              <w:spacing w:line="500" w:lineRule="exact"/>
              <w:rPr>
                <w:rFonts w:ascii="仿宋_GB2312"/>
              </w:rPr>
            </w:pPr>
            <w:r>
              <w:rPr>
                <w:rFonts w:hint="eastAsia" w:ascii="仿宋_GB2312"/>
              </w:rPr>
              <w:t>设施配置与设施体系</w:t>
            </w:r>
          </w:p>
        </w:tc>
        <w:tc>
          <w:tcPr>
            <w:tcW w:w="6164" w:type="dxa"/>
            <w:vAlign w:val="top"/>
          </w:tcPr>
          <w:p>
            <w:pPr>
              <w:spacing w:line="520" w:lineRule="exact"/>
              <w:rPr>
                <w:rFonts w:ascii="仿宋_GB2312"/>
              </w:rPr>
            </w:pPr>
            <w:r>
              <w:rPr>
                <w:rFonts w:hint="eastAsia" w:ascii="仿宋_GB2312"/>
              </w:rPr>
              <w:t>全面落实《中华人民共和国公共文化服务保障法》。公共图书馆、文化馆、美术馆、博物馆、非遗馆、电影院、剧院、音乐厅、乡镇（街道）综合文化站等各类文化场馆配置齐全。公共图书馆、文化馆达到部颁二级以上标准，市域内有国家二级以上博物馆。城市内大中小型文化设施布局合理、方便利用。公共文化设施配备有适应东亚地区特别是日韩使用者的资源、标识和服务。（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4.2</w:t>
            </w:r>
          </w:p>
        </w:tc>
        <w:tc>
          <w:tcPr>
            <w:tcW w:w="1671" w:type="dxa"/>
            <w:vAlign w:val="center"/>
          </w:tcPr>
          <w:p>
            <w:pPr>
              <w:spacing w:line="500" w:lineRule="exact"/>
              <w:rPr>
                <w:rFonts w:ascii="仿宋_GB2312"/>
              </w:rPr>
            </w:pPr>
            <w:r>
              <w:rPr>
                <w:rFonts w:hint="eastAsia" w:ascii="仿宋_GB2312"/>
              </w:rPr>
              <w:t>服务供给与效能</w:t>
            </w:r>
          </w:p>
        </w:tc>
        <w:tc>
          <w:tcPr>
            <w:tcW w:w="6164" w:type="dxa"/>
            <w:vAlign w:val="top"/>
          </w:tcPr>
          <w:p>
            <w:pPr>
              <w:spacing w:line="520" w:lineRule="exact"/>
              <w:rPr>
                <w:rFonts w:ascii="仿宋_GB2312"/>
              </w:rPr>
            </w:pPr>
            <w:r>
              <w:rPr>
                <w:rFonts w:hint="eastAsia" w:ascii="仿宋_GB2312"/>
              </w:rPr>
              <w:t>基本公共文化服务保障到位，面向特殊人群的公共文化服务全面覆盖。建立优质公共文化资源和服务直达基层的机制。发展特色化、高品质的普惠性非基本公共文化服务。具有开展“东亚文化之都”特色服务的基础、资源和能力。主要公共文化机构的服务效能水平处于本省前列。（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4.3</w:t>
            </w:r>
          </w:p>
        </w:tc>
        <w:tc>
          <w:tcPr>
            <w:tcW w:w="1671" w:type="dxa"/>
            <w:vAlign w:val="center"/>
          </w:tcPr>
          <w:p>
            <w:pPr>
              <w:spacing w:line="500" w:lineRule="exact"/>
              <w:rPr>
                <w:rFonts w:ascii="仿宋_GB2312"/>
              </w:rPr>
            </w:pPr>
            <w:r>
              <w:rPr>
                <w:rFonts w:hint="eastAsia" w:ascii="仿宋_GB2312"/>
              </w:rPr>
              <w:t>数字化平台、资源、场景与服务能力建设</w:t>
            </w:r>
          </w:p>
        </w:tc>
        <w:tc>
          <w:tcPr>
            <w:tcW w:w="6164" w:type="dxa"/>
            <w:vAlign w:val="top"/>
          </w:tcPr>
          <w:p>
            <w:pPr>
              <w:spacing w:line="500" w:lineRule="exact"/>
              <w:rPr>
                <w:rFonts w:ascii="仿宋_GB2312"/>
              </w:rPr>
            </w:pPr>
            <w:r>
              <w:rPr>
                <w:rFonts w:hint="eastAsia" w:ascii="仿宋_GB2312"/>
              </w:rPr>
              <w:t>建有上下贯通的文化服务云平台和新媒体矩阵。地方特色文化资源数字化程度高。公共文化机构普遍开展线上线下相结合的服务。有代表性的沉浸式、体验式、互动式数字文化场景。（25分）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4.4</w:t>
            </w:r>
          </w:p>
        </w:tc>
        <w:tc>
          <w:tcPr>
            <w:tcW w:w="1671" w:type="dxa"/>
            <w:vAlign w:val="center"/>
          </w:tcPr>
          <w:p>
            <w:pPr>
              <w:spacing w:line="500" w:lineRule="exact"/>
              <w:rPr>
                <w:rFonts w:ascii="仿宋_GB2312"/>
              </w:rPr>
            </w:pPr>
            <w:r>
              <w:rPr>
                <w:rFonts w:hint="eastAsia" w:ascii="仿宋_GB2312"/>
              </w:rPr>
              <w:t>推动社会力量参与</w:t>
            </w:r>
          </w:p>
        </w:tc>
        <w:tc>
          <w:tcPr>
            <w:tcW w:w="6164" w:type="dxa"/>
            <w:vAlign w:val="top"/>
          </w:tcPr>
          <w:p>
            <w:pPr>
              <w:spacing w:line="500" w:lineRule="exact"/>
              <w:rPr>
                <w:rFonts w:ascii="仿宋_GB2312"/>
              </w:rPr>
            </w:pPr>
            <w:r>
              <w:rPr>
                <w:rFonts w:hint="eastAsia" w:ascii="仿宋_GB2312"/>
              </w:rPr>
              <w:t>有引导和鼓励社会力量以多种方式参与公共文化服务的政策。广泛开展政府购买公共文化服务工作，推进公共文化设施所有权和使用权分置改革。有文化志愿服务特色项目或品牌活动，文化志愿者人数不低于总人口的千分之二。（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4.5</w:t>
            </w:r>
          </w:p>
        </w:tc>
        <w:tc>
          <w:tcPr>
            <w:tcW w:w="1671" w:type="dxa"/>
            <w:vAlign w:val="center"/>
          </w:tcPr>
          <w:p>
            <w:pPr>
              <w:spacing w:line="500" w:lineRule="exact"/>
              <w:ind w:left="320" w:hanging="320" w:hangingChars="100"/>
              <w:rPr>
                <w:rFonts w:ascii="仿宋_GB2312"/>
              </w:rPr>
            </w:pPr>
            <w:r>
              <w:rPr>
                <w:rFonts w:hint="eastAsia" w:ascii="仿宋_GB2312"/>
              </w:rPr>
              <w:t>加分项</w:t>
            </w:r>
          </w:p>
        </w:tc>
        <w:tc>
          <w:tcPr>
            <w:tcW w:w="6164" w:type="dxa"/>
            <w:vAlign w:val="top"/>
          </w:tcPr>
          <w:p>
            <w:pPr>
              <w:spacing w:line="500" w:lineRule="exact"/>
              <w:ind w:left="320" w:hanging="320" w:hangingChars="100"/>
              <w:rPr>
                <w:rFonts w:ascii="仿宋_GB2312"/>
              </w:rPr>
            </w:pPr>
            <w:r>
              <w:rPr>
                <w:rFonts w:hint="eastAsia" w:ascii="仿宋_GB2312"/>
              </w:rPr>
              <w:t>1.获得“国家公共文化服务体系示范区”称号。（10分）</w:t>
            </w:r>
          </w:p>
          <w:p>
            <w:pPr>
              <w:spacing w:line="500" w:lineRule="exact"/>
              <w:ind w:left="320" w:hanging="320" w:hangingChars="100"/>
              <w:rPr>
                <w:rFonts w:hint="eastAsia" w:ascii="仿宋_GB2312"/>
              </w:rPr>
            </w:pPr>
            <w:r>
              <w:rPr>
                <w:rFonts w:hint="eastAsia" w:ascii="仿宋_GB2312"/>
              </w:rPr>
              <w:t>2.辖区内有国家一级博物馆。（8分）</w:t>
            </w:r>
          </w:p>
          <w:p>
            <w:pPr>
              <w:spacing w:line="500" w:lineRule="exact"/>
              <w:ind w:left="320" w:hanging="320" w:hangingChars="100"/>
              <w:rPr>
                <w:rFonts w:hint="eastAsia" w:ascii="仿宋_GB2312"/>
              </w:rPr>
            </w:pPr>
            <w:r>
              <w:rPr>
                <w:rFonts w:hint="eastAsia" w:ascii="仿宋_GB2312"/>
              </w:rPr>
              <w:t>3.辖区内有国家重点美术馆。（8分）</w:t>
            </w:r>
          </w:p>
          <w:p>
            <w:pPr>
              <w:spacing w:line="500" w:lineRule="exact"/>
              <w:ind w:left="320" w:hanging="320" w:hangingChars="100"/>
              <w:rPr>
                <w:rFonts w:hint="eastAsia" w:ascii="仿宋_GB2312"/>
              </w:rPr>
            </w:pPr>
            <w:r>
              <w:rPr>
                <w:rFonts w:hint="eastAsia" w:ascii="仿宋_GB2312"/>
              </w:rPr>
              <w:t>4.辖区内有单位获得“国家公共文化服务体系示范项目”。（5分）</w:t>
            </w:r>
          </w:p>
          <w:p>
            <w:pPr>
              <w:spacing w:line="500" w:lineRule="exact"/>
              <w:ind w:left="320" w:hanging="320" w:hangingChars="100"/>
              <w:rPr>
                <w:rFonts w:ascii="仿宋_GB2312"/>
              </w:rPr>
            </w:pPr>
            <w:r>
              <w:rPr>
                <w:rFonts w:hint="eastAsia" w:ascii="仿宋_GB2312"/>
              </w:rPr>
              <w:t>5.在公共文化服务体系建设方面有获得省部级以上认定、表彰的创新案例或典型项目。（5分）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b/>
                <w:bCs/>
              </w:rPr>
            </w:pPr>
            <w:r>
              <w:rPr>
                <w:rFonts w:hint="eastAsia" w:ascii="仿宋_GB2312"/>
                <w:b/>
                <w:bCs/>
              </w:rPr>
              <w:t>5.</w:t>
            </w:r>
          </w:p>
        </w:tc>
        <w:tc>
          <w:tcPr>
            <w:tcW w:w="7835" w:type="dxa"/>
            <w:gridSpan w:val="2"/>
            <w:vAlign w:val="center"/>
          </w:tcPr>
          <w:p>
            <w:pPr>
              <w:spacing w:line="500" w:lineRule="exact"/>
              <w:rPr>
                <w:rFonts w:ascii="仿宋_GB2312"/>
                <w:b/>
                <w:bCs/>
              </w:rPr>
            </w:pPr>
            <w:r>
              <w:rPr>
                <w:rFonts w:hint="eastAsia" w:ascii="仿宋_GB2312"/>
                <w:b/>
                <w:bCs/>
              </w:rPr>
              <w:t>文化产业和消费（130分）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5.1</w:t>
            </w:r>
          </w:p>
        </w:tc>
        <w:tc>
          <w:tcPr>
            <w:tcW w:w="1671" w:type="dxa"/>
            <w:vAlign w:val="center"/>
          </w:tcPr>
          <w:p>
            <w:pPr>
              <w:spacing w:line="500" w:lineRule="exact"/>
              <w:rPr>
                <w:rFonts w:ascii="仿宋_GB2312"/>
              </w:rPr>
            </w:pPr>
            <w:r>
              <w:rPr>
                <w:rFonts w:hint="eastAsia" w:ascii="仿宋_GB2312"/>
              </w:rPr>
              <w:t>文化产业规模与特色</w:t>
            </w:r>
          </w:p>
        </w:tc>
        <w:tc>
          <w:tcPr>
            <w:tcW w:w="6164" w:type="dxa"/>
            <w:vAlign w:val="top"/>
          </w:tcPr>
          <w:p>
            <w:pPr>
              <w:spacing w:line="500" w:lineRule="exact"/>
              <w:rPr>
                <w:rFonts w:ascii="仿宋_GB2312"/>
              </w:rPr>
            </w:pPr>
            <w:r>
              <w:rPr>
                <w:rFonts w:hint="eastAsia" w:ascii="仿宋_GB2312"/>
              </w:rPr>
              <w:t>形成了有特色的文化产业门类或品牌。挖掘地方文化资源、文化基因，开发具有城市辨识度的文化创意产品成效显著。文化产业增加值占GDP比重不低于本省平均水平。（40分）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5.2</w:t>
            </w:r>
          </w:p>
        </w:tc>
        <w:tc>
          <w:tcPr>
            <w:tcW w:w="1671" w:type="dxa"/>
            <w:vAlign w:val="center"/>
          </w:tcPr>
          <w:p>
            <w:pPr>
              <w:spacing w:line="500" w:lineRule="exact"/>
              <w:rPr>
                <w:rFonts w:ascii="仿宋_GB2312"/>
              </w:rPr>
            </w:pPr>
            <w:r>
              <w:rPr>
                <w:rFonts w:hint="eastAsia" w:ascii="仿宋_GB2312"/>
              </w:rPr>
              <w:t>新质生产力赋能文化和旅游发展</w:t>
            </w:r>
          </w:p>
        </w:tc>
        <w:tc>
          <w:tcPr>
            <w:tcW w:w="6164" w:type="dxa"/>
            <w:vAlign w:val="top"/>
          </w:tcPr>
          <w:p>
            <w:pPr>
              <w:spacing w:line="500" w:lineRule="exact"/>
              <w:rPr>
                <w:rFonts w:ascii="仿宋_GB2312"/>
              </w:rPr>
            </w:pPr>
            <w:r>
              <w:rPr>
                <w:rFonts w:hint="eastAsia" w:ascii="仿宋_GB2312"/>
              </w:rPr>
              <w:t>积极推进人工智能、虚拟现实、区块链等新兴科技赋能文化和旅游产业，大力发展数字创意、数字娱乐、数字演艺、数字艺术、沉浸式和互动式体验等体现新质生产力的新业态。有个性化、定制化、智能化的数字文化和旅游产品供给，体现新要素、新业态、新模式、新机制。（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5.3</w:t>
            </w:r>
          </w:p>
        </w:tc>
        <w:tc>
          <w:tcPr>
            <w:tcW w:w="1671" w:type="dxa"/>
            <w:vAlign w:val="center"/>
          </w:tcPr>
          <w:p>
            <w:pPr>
              <w:spacing w:line="500" w:lineRule="exact"/>
              <w:rPr>
                <w:rFonts w:ascii="仿宋_GB2312"/>
              </w:rPr>
            </w:pPr>
            <w:r>
              <w:rPr>
                <w:rFonts w:hint="eastAsia" w:ascii="仿宋_GB2312"/>
              </w:rPr>
              <w:t>促进文化和旅游消费</w:t>
            </w:r>
          </w:p>
        </w:tc>
        <w:tc>
          <w:tcPr>
            <w:tcW w:w="6164" w:type="dxa"/>
            <w:vAlign w:val="top"/>
          </w:tcPr>
          <w:p>
            <w:pPr>
              <w:spacing w:line="500" w:lineRule="exact"/>
              <w:rPr>
                <w:rFonts w:ascii="仿宋_GB2312"/>
              </w:rPr>
            </w:pPr>
            <w:r>
              <w:rPr>
                <w:rFonts w:hint="eastAsia" w:ascii="仿宋_GB2312"/>
              </w:rPr>
              <w:t>健全文化消费的支持政策，培育新型文化和旅游消费及消费增长点。发挥文化赋能作用，发展夜间文化和旅游经济。丰富文化消费场景，建设集合多种业态的消费集聚区。举办文化消费季（月）等消费惠民活动，发放文化和旅游消费券等消费补贴。（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874" w:type="dxa"/>
            <w:vAlign w:val="center"/>
          </w:tcPr>
          <w:p>
            <w:pPr>
              <w:spacing w:line="500" w:lineRule="exact"/>
              <w:rPr>
                <w:rFonts w:ascii="仿宋_GB2312"/>
              </w:rPr>
            </w:pPr>
            <w:r>
              <w:rPr>
                <w:rFonts w:hint="eastAsia" w:ascii="仿宋_GB2312"/>
              </w:rPr>
              <w:t>5.4</w:t>
            </w:r>
          </w:p>
        </w:tc>
        <w:tc>
          <w:tcPr>
            <w:tcW w:w="1671" w:type="dxa"/>
            <w:vAlign w:val="center"/>
          </w:tcPr>
          <w:p>
            <w:pPr>
              <w:spacing w:line="500" w:lineRule="exact"/>
              <w:ind w:left="282" w:hanging="281" w:hangingChars="88"/>
              <w:rPr>
                <w:rFonts w:ascii="仿宋_GB2312"/>
              </w:rPr>
            </w:pPr>
            <w:r>
              <w:rPr>
                <w:rFonts w:hint="eastAsia" w:ascii="仿宋_GB2312"/>
              </w:rPr>
              <w:t>加分项</w:t>
            </w:r>
          </w:p>
        </w:tc>
        <w:tc>
          <w:tcPr>
            <w:tcW w:w="6164" w:type="dxa"/>
            <w:vAlign w:val="top"/>
          </w:tcPr>
          <w:p>
            <w:pPr>
              <w:spacing w:line="500" w:lineRule="exact"/>
              <w:ind w:left="282" w:hanging="281" w:hangingChars="88"/>
              <w:rPr>
                <w:rFonts w:ascii="仿宋_GB2312"/>
              </w:rPr>
            </w:pPr>
            <w:r>
              <w:rPr>
                <w:rFonts w:hint="eastAsia" w:ascii="仿宋_GB2312"/>
              </w:rPr>
              <w:t>1.获批成为“国家对外文化贸易基地”（10分），国家文化出口基地（5分），以上两项得分不累计，总分不超过10分。</w:t>
            </w:r>
          </w:p>
          <w:p>
            <w:pPr>
              <w:spacing w:line="500" w:lineRule="exact"/>
              <w:ind w:left="282" w:hanging="281" w:hangingChars="88"/>
              <w:rPr>
                <w:rFonts w:hint="eastAsia" w:ascii="仿宋_GB2312"/>
              </w:rPr>
            </w:pPr>
            <w:r>
              <w:rPr>
                <w:rFonts w:hint="eastAsia" w:ascii="仿宋_GB2312"/>
              </w:rPr>
              <w:t>2.获得“国家文化和旅游消费示范城市”称号。（10分）</w:t>
            </w:r>
          </w:p>
          <w:p>
            <w:pPr>
              <w:spacing w:line="500" w:lineRule="exact"/>
              <w:ind w:left="282" w:hanging="281" w:hangingChars="88"/>
              <w:rPr>
                <w:rFonts w:hint="eastAsia" w:ascii="仿宋_GB2312"/>
              </w:rPr>
            </w:pPr>
            <w:r>
              <w:rPr>
                <w:rFonts w:hint="eastAsia" w:ascii="仿宋_GB2312"/>
              </w:rPr>
              <w:t>3.辖区内有“国家级夜间文化和旅游消费集聚区”。（8分）</w:t>
            </w:r>
          </w:p>
          <w:p>
            <w:pPr>
              <w:spacing w:line="500" w:lineRule="exact"/>
              <w:ind w:left="282" w:hanging="281" w:hangingChars="88"/>
              <w:rPr>
                <w:rFonts w:hint="eastAsia" w:ascii="仿宋_GB2312"/>
              </w:rPr>
            </w:pPr>
            <w:r>
              <w:rPr>
                <w:rFonts w:hint="eastAsia" w:ascii="仿宋_GB2312"/>
              </w:rPr>
              <w:t>4.辖区内有“文化产业赋能乡村振兴试点”单位。（8分）</w:t>
            </w:r>
          </w:p>
          <w:p>
            <w:pPr>
              <w:spacing w:line="500" w:lineRule="exact"/>
              <w:ind w:left="282" w:hanging="281" w:hangingChars="88"/>
              <w:rPr>
                <w:rFonts w:ascii="仿宋_GB2312"/>
              </w:rPr>
            </w:pPr>
            <w:r>
              <w:rPr>
                <w:rFonts w:hint="eastAsia" w:ascii="仿宋_GB2312"/>
              </w:rPr>
              <w:t>5.辖区内有文化产业示范园区。（8分）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74" w:type="dxa"/>
            <w:vAlign w:val="center"/>
          </w:tcPr>
          <w:p>
            <w:pPr>
              <w:spacing w:line="500" w:lineRule="exact"/>
              <w:rPr>
                <w:rFonts w:ascii="仿宋_GB2312"/>
                <w:b/>
                <w:bCs/>
              </w:rPr>
            </w:pPr>
            <w:r>
              <w:rPr>
                <w:rFonts w:hint="eastAsia" w:ascii="仿宋_GB2312"/>
                <w:b/>
                <w:bCs/>
              </w:rPr>
              <w:t>6.</w:t>
            </w:r>
          </w:p>
        </w:tc>
        <w:tc>
          <w:tcPr>
            <w:tcW w:w="7835" w:type="dxa"/>
            <w:gridSpan w:val="2"/>
            <w:vAlign w:val="center"/>
          </w:tcPr>
          <w:p>
            <w:pPr>
              <w:spacing w:line="500" w:lineRule="exact"/>
              <w:rPr>
                <w:rFonts w:ascii="仿宋_GB2312"/>
                <w:b/>
                <w:bCs/>
              </w:rPr>
            </w:pPr>
            <w:r>
              <w:rPr>
                <w:rFonts w:hint="eastAsia" w:ascii="仿宋_GB2312"/>
                <w:b/>
                <w:bCs/>
              </w:rPr>
              <w:t>国际交流与文化传播（200分）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6.1</w:t>
            </w:r>
          </w:p>
        </w:tc>
        <w:tc>
          <w:tcPr>
            <w:tcW w:w="1671" w:type="dxa"/>
            <w:vAlign w:val="center"/>
          </w:tcPr>
          <w:p>
            <w:pPr>
              <w:spacing w:line="480" w:lineRule="exact"/>
              <w:rPr>
                <w:rFonts w:ascii="仿宋_GB2312"/>
              </w:rPr>
            </w:pPr>
            <w:r>
              <w:rPr>
                <w:rFonts w:hint="eastAsia" w:ascii="仿宋_GB2312"/>
              </w:rPr>
              <w:t>“一带一路”文化交流</w:t>
            </w:r>
          </w:p>
        </w:tc>
        <w:tc>
          <w:tcPr>
            <w:tcW w:w="6164" w:type="dxa"/>
            <w:vAlign w:val="top"/>
          </w:tcPr>
          <w:p>
            <w:pPr>
              <w:spacing w:line="480" w:lineRule="exact"/>
              <w:rPr>
                <w:rFonts w:ascii="仿宋_GB2312"/>
              </w:rPr>
            </w:pPr>
            <w:r>
              <w:rPr>
                <w:rFonts w:hint="eastAsia" w:ascii="仿宋_GB2312"/>
              </w:rPr>
              <w:t>在“一带一路”文化交流中发挥重要作用。策划实施“一带一路”民心相通相关项目。（20分）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6.2</w:t>
            </w:r>
          </w:p>
        </w:tc>
        <w:tc>
          <w:tcPr>
            <w:tcW w:w="1671" w:type="dxa"/>
            <w:vAlign w:val="center"/>
          </w:tcPr>
          <w:p>
            <w:pPr>
              <w:spacing w:line="480" w:lineRule="exact"/>
              <w:rPr>
                <w:rFonts w:ascii="仿宋_GB2312"/>
              </w:rPr>
            </w:pPr>
            <w:r>
              <w:rPr>
                <w:rFonts w:hint="eastAsia" w:ascii="仿宋_GB2312"/>
              </w:rPr>
              <w:t>促进东亚文化与旅游发展</w:t>
            </w:r>
          </w:p>
        </w:tc>
        <w:tc>
          <w:tcPr>
            <w:tcW w:w="6164" w:type="dxa"/>
            <w:vAlign w:val="top"/>
          </w:tcPr>
          <w:p>
            <w:pPr>
              <w:spacing w:line="480" w:lineRule="exact"/>
              <w:rPr>
                <w:rFonts w:ascii="仿宋_GB2312"/>
              </w:rPr>
            </w:pPr>
            <w:r>
              <w:rPr>
                <w:rFonts w:hint="eastAsia" w:ascii="仿宋_GB2312"/>
              </w:rPr>
              <w:t>在促进东亚文化和旅游发展中发挥积极作用。与日本、韩国文化交流有良好基础，有机制性中日韩文化交流合作项目。（30分）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6.3</w:t>
            </w:r>
          </w:p>
        </w:tc>
        <w:tc>
          <w:tcPr>
            <w:tcW w:w="1671" w:type="dxa"/>
            <w:vAlign w:val="center"/>
          </w:tcPr>
          <w:p>
            <w:pPr>
              <w:spacing w:line="500" w:lineRule="exact"/>
              <w:rPr>
                <w:rFonts w:ascii="仿宋_GB2312"/>
              </w:rPr>
            </w:pPr>
            <w:r>
              <w:rPr>
                <w:rFonts w:hint="eastAsia" w:ascii="仿宋_GB2312"/>
              </w:rPr>
              <w:t>加强与国际组织联系</w:t>
            </w:r>
          </w:p>
        </w:tc>
        <w:tc>
          <w:tcPr>
            <w:tcW w:w="6164" w:type="dxa"/>
            <w:vAlign w:val="top"/>
          </w:tcPr>
          <w:p>
            <w:pPr>
              <w:spacing w:line="500" w:lineRule="exact"/>
              <w:rPr>
                <w:rFonts w:ascii="仿宋_GB2312"/>
              </w:rPr>
            </w:pPr>
            <w:r>
              <w:rPr>
                <w:rFonts w:hint="eastAsia" w:ascii="仿宋_GB2312"/>
              </w:rPr>
              <w:t>积极参与联合国教科文组织、联合国旅游组织、国际图书馆协会联合会、国际博物馆协会、国际民间艺术节组织理事会等国际组织活动。与“友好城市”特别是日本、韩国“友好城市”及其各类文化和旅游机构有较为密切的交流与合作。（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6.4</w:t>
            </w:r>
          </w:p>
        </w:tc>
        <w:tc>
          <w:tcPr>
            <w:tcW w:w="1671" w:type="dxa"/>
            <w:vAlign w:val="center"/>
          </w:tcPr>
          <w:p>
            <w:pPr>
              <w:spacing w:line="500" w:lineRule="exact"/>
              <w:rPr>
                <w:rFonts w:ascii="仿宋_GB2312"/>
              </w:rPr>
            </w:pPr>
            <w:r>
              <w:rPr>
                <w:rFonts w:hint="eastAsia" w:ascii="仿宋_GB2312"/>
              </w:rPr>
              <w:t>文艺演出国际交流</w:t>
            </w:r>
          </w:p>
        </w:tc>
        <w:tc>
          <w:tcPr>
            <w:tcW w:w="6164" w:type="dxa"/>
            <w:vAlign w:val="top"/>
          </w:tcPr>
          <w:p>
            <w:pPr>
              <w:spacing w:line="500" w:lineRule="exact"/>
              <w:rPr>
                <w:rFonts w:ascii="仿宋_GB2312"/>
              </w:rPr>
            </w:pPr>
            <w:r>
              <w:rPr>
                <w:rFonts w:hint="eastAsia" w:ascii="仿宋_GB2312"/>
              </w:rPr>
              <w:t>具备“走出去、请进来”开展各类文艺演出国际交流的能力与条件。近年来赴国外演出交流并取得良好反响。（20分）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p>
          <w:p>
            <w:pPr>
              <w:spacing w:line="500" w:lineRule="exact"/>
              <w:rPr>
                <w:rFonts w:ascii="仿宋_GB2312"/>
              </w:rPr>
            </w:pPr>
            <w:r>
              <w:rPr>
                <w:rFonts w:hint="eastAsia" w:ascii="仿宋_GB2312"/>
              </w:rPr>
              <w:t>6.5</w:t>
            </w:r>
          </w:p>
        </w:tc>
        <w:tc>
          <w:tcPr>
            <w:tcW w:w="1671" w:type="dxa"/>
            <w:vAlign w:val="center"/>
          </w:tcPr>
          <w:p>
            <w:pPr>
              <w:spacing w:line="500" w:lineRule="exact"/>
              <w:rPr>
                <w:rFonts w:ascii="仿宋_GB2312"/>
              </w:rPr>
            </w:pPr>
            <w:r>
              <w:rPr>
                <w:rFonts w:hint="eastAsia" w:ascii="仿宋_GB2312"/>
              </w:rPr>
              <w:t>品牌活动</w:t>
            </w:r>
          </w:p>
        </w:tc>
        <w:tc>
          <w:tcPr>
            <w:tcW w:w="6164" w:type="dxa"/>
            <w:vAlign w:val="top"/>
          </w:tcPr>
          <w:p>
            <w:pPr>
              <w:spacing w:line="500" w:lineRule="exact"/>
              <w:rPr>
                <w:rFonts w:ascii="仿宋_GB2312"/>
              </w:rPr>
            </w:pPr>
            <w:r>
              <w:rPr>
                <w:rFonts w:hint="eastAsia" w:ascii="仿宋_GB2312"/>
              </w:rPr>
              <w:t>近年来参与中外文化年（节）、旅游年（节）、“欢乐春节”“你好!中国”“茶和天下”·雅集等文化交流活动。开发国际化文化和旅游产品，开展丰富多彩的民间文化艺术国际交流活动和青少年文化艺术国际交流活动。（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p>
          <w:p>
            <w:pPr>
              <w:spacing w:line="500" w:lineRule="exact"/>
              <w:rPr>
                <w:rFonts w:ascii="仿宋_GB2312"/>
              </w:rPr>
            </w:pPr>
            <w:r>
              <w:rPr>
                <w:rFonts w:hint="eastAsia" w:ascii="仿宋_GB2312"/>
              </w:rPr>
              <w:t>6.6</w:t>
            </w:r>
          </w:p>
        </w:tc>
        <w:tc>
          <w:tcPr>
            <w:tcW w:w="1671" w:type="dxa"/>
            <w:vAlign w:val="center"/>
          </w:tcPr>
          <w:p>
            <w:pPr>
              <w:spacing w:line="500" w:lineRule="exact"/>
              <w:rPr>
                <w:rFonts w:ascii="仿宋_GB2312"/>
              </w:rPr>
            </w:pPr>
            <w:r>
              <w:rPr>
                <w:rFonts w:hint="eastAsia" w:ascii="仿宋_GB2312"/>
              </w:rPr>
              <w:t>对外文化贸易</w:t>
            </w:r>
          </w:p>
        </w:tc>
        <w:tc>
          <w:tcPr>
            <w:tcW w:w="6164" w:type="dxa"/>
            <w:vAlign w:val="top"/>
          </w:tcPr>
          <w:p>
            <w:pPr>
              <w:spacing w:line="500" w:lineRule="exact"/>
              <w:rPr>
                <w:rFonts w:ascii="仿宋_GB2312"/>
              </w:rPr>
            </w:pPr>
            <w:r>
              <w:rPr>
                <w:rFonts w:hint="eastAsia" w:ascii="仿宋_GB2312"/>
              </w:rPr>
              <w:t>当地企业以“中国展区”“城市展区”等形式参加东亚地区国际文化产业展会。开展“多彩中国 佳节好物”等文化和旅游贸易促进活动。有企业和项目入选国家文化出口重点企业和重点项目。（20分）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jc w:val="center"/>
              <w:rPr>
                <w:rFonts w:ascii="仿宋_GB2312"/>
              </w:rPr>
            </w:pPr>
          </w:p>
          <w:p>
            <w:pPr>
              <w:spacing w:line="500" w:lineRule="exact"/>
              <w:jc w:val="center"/>
              <w:rPr>
                <w:rFonts w:ascii="仿宋_GB2312"/>
              </w:rPr>
            </w:pPr>
            <w:r>
              <w:rPr>
                <w:rFonts w:hint="eastAsia" w:ascii="仿宋_GB2312"/>
              </w:rPr>
              <w:t>6.7</w:t>
            </w:r>
          </w:p>
        </w:tc>
        <w:tc>
          <w:tcPr>
            <w:tcW w:w="1671" w:type="dxa"/>
            <w:vAlign w:val="center"/>
          </w:tcPr>
          <w:p>
            <w:pPr>
              <w:spacing w:line="500" w:lineRule="exact"/>
              <w:jc w:val="center"/>
              <w:rPr>
                <w:rFonts w:ascii="仿宋_GB2312"/>
              </w:rPr>
            </w:pPr>
            <w:r>
              <w:rPr>
                <w:rFonts w:hint="eastAsia" w:ascii="仿宋_GB2312"/>
              </w:rPr>
              <w:t>入境旅游高质量发展</w:t>
            </w:r>
          </w:p>
        </w:tc>
        <w:tc>
          <w:tcPr>
            <w:tcW w:w="6164" w:type="dxa"/>
            <w:vAlign w:val="top"/>
          </w:tcPr>
          <w:p>
            <w:pPr>
              <w:spacing w:line="500" w:lineRule="exact"/>
              <w:rPr>
                <w:rFonts w:ascii="仿宋_GB2312"/>
              </w:rPr>
            </w:pPr>
            <w:r>
              <w:rPr>
                <w:rFonts w:hint="eastAsia" w:ascii="仿宋_GB2312"/>
              </w:rPr>
              <w:t>全面落实国家和地方促进入境旅游高质量发展的政策措施。用足用好各类免签政策，有高品质、有特色、有吸引力的入境旅游线路和产品。通信服务、咨询服务、导游服务、支付服务、交通住宿服务、离境退税服务等入境旅游便利化服务措施完善、落实到位。积极拓展深化东亚地区入境旅游。申报城市拥有与日本、韩国直飞航班。（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p>
          <w:p>
            <w:pPr>
              <w:spacing w:line="500" w:lineRule="exact"/>
              <w:rPr>
                <w:rFonts w:ascii="仿宋_GB2312"/>
              </w:rPr>
            </w:pPr>
            <w:r>
              <w:rPr>
                <w:rFonts w:hint="eastAsia" w:ascii="仿宋_GB2312"/>
              </w:rPr>
              <w:t>6.8</w:t>
            </w:r>
          </w:p>
        </w:tc>
        <w:tc>
          <w:tcPr>
            <w:tcW w:w="1671" w:type="dxa"/>
            <w:vAlign w:val="center"/>
          </w:tcPr>
          <w:p>
            <w:pPr>
              <w:spacing w:line="500" w:lineRule="exact"/>
              <w:rPr>
                <w:rFonts w:ascii="仿宋_GB2312"/>
              </w:rPr>
            </w:pPr>
            <w:r>
              <w:rPr>
                <w:rFonts w:hint="eastAsia" w:ascii="仿宋_GB2312"/>
              </w:rPr>
              <w:t>加分项</w:t>
            </w:r>
          </w:p>
        </w:tc>
        <w:tc>
          <w:tcPr>
            <w:tcW w:w="6164" w:type="dxa"/>
            <w:vAlign w:val="top"/>
          </w:tcPr>
          <w:p>
            <w:pPr>
              <w:spacing w:line="500" w:lineRule="exact"/>
              <w:ind w:left="282" w:hanging="281" w:hangingChars="88"/>
              <w:rPr>
                <w:rFonts w:ascii="仿宋_GB2312"/>
              </w:rPr>
            </w:pPr>
            <w:r>
              <w:rPr>
                <w:rFonts w:hint="eastAsia" w:ascii="仿宋_GB2312"/>
              </w:rPr>
              <w:t>1.有文化和旅游项目获国际组织奖项。（10分）</w:t>
            </w:r>
          </w:p>
          <w:p>
            <w:pPr>
              <w:spacing w:line="500" w:lineRule="exact"/>
              <w:ind w:left="282" w:hanging="281" w:hangingChars="88"/>
              <w:rPr>
                <w:rFonts w:hint="eastAsia" w:ascii="仿宋_GB2312"/>
              </w:rPr>
            </w:pPr>
            <w:r>
              <w:rPr>
                <w:rFonts w:hint="eastAsia" w:ascii="仿宋_GB2312"/>
              </w:rPr>
              <w:t>2.被认定为国家对外文化贸易基地或国家文化出口基地。（10分）</w:t>
            </w:r>
          </w:p>
          <w:p>
            <w:pPr>
              <w:spacing w:line="500" w:lineRule="exact"/>
              <w:ind w:left="282" w:hanging="281" w:hangingChars="88"/>
              <w:rPr>
                <w:rFonts w:hint="eastAsia" w:ascii="仿宋_GB2312"/>
              </w:rPr>
            </w:pPr>
            <w:r>
              <w:rPr>
                <w:rFonts w:hint="eastAsia" w:ascii="仿宋_GB2312"/>
              </w:rPr>
              <w:t>3.有获得省部级以上认定、表彰的国际文化交流与合作创新项目。（5分）</w:t>
            </w:r>
          </w:p>
          <w:p>
            <w:pPr>
              <w:spacing w:line="500" w:lineRule="exact"/>
              <w:ind w:left="282" w:hanging="281" w:hangingChars="88"/>
              <w:rPr>
                <w:rFonts w:ascii="仿宋_GB2312"/>
              </w:rPr>
            </w:pPr>
            <w:r>
              <w:rPr>
                <w:rFonts w:hint="eastAsia" w:ascii="仿宋_GB2312"/>
              </w:rPr>
              <w:t>4.有获得省部级以上认定、表彰的促进内地与港澳台双向文化交流合作的创新项目。（5分）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b/>
                <w:bCs/>
              </w:rPr>
            </w:pPr>
            <w:r>
              <w:rPr>
                <w:rFonts w:hint="eastAsia" w:ascii="仿宋_GB2312"/>
                <w:b/>
                <w:bCs/>
              </w:rPr>
              <w:t>7.</w:t>
            </w:r>
          </w:p>
        </w:tc>
        <w:tc>
          <w:tcPr>
            <w:tcW w:w="7835" w:type="dxa"/>
            <w:gridSpan w:val="2"/>
            <w:vAlign w:val="center"/>
          </w:tcPr>
          <w:p>
            <w:pPr>
              <w:spacing w:line="500" w:lineRule="exact"/>
              <w:rPr>
                <w:rFonts w:ascii="仿宋_GB2312"/>
                <w:b/>
                <w:bCs/>
              </w:rPr>
            </w:pPr>
            <w:r>
              <w:rPr>
                <w:rFonts w:hint="eastAsia" w:ascii="仿宋_GB2312"/>
                <w:b/>
                <w:bCs/>
              </w:rPr>
              <w:t>旅游产品、服务与文旅融合（130分）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7.1</w:t>
            </w:r>
          </w:p>
        </w:tc>
        <w:tc>
          <w:tcPr>
            <w:tcW w:w="1671" w:type="dxa"/>
            <w:vAlign w:val="center"/>
          </w:tcPr>
          <w:p>
            <w:pPr>
              <w:spacing w:line="500" w:lineRule="exact"/>
              <w:rPr>
                <w:rFonts w:ascii="仿宋_GB2312"/>
              </w:rPr>
            </w:pPr>
            <w:r>
              <w:rPr>
                <w:rFonts w:hint="eastAsia" w:ascii="仿宋_GB2312"/>
              </w:rPr>
              <w:t>旅游产品供给</w:t>
            </w:r>
          </w:p>
        </w:tc>
        <w:tc>
          <w:tcPr>
            <w:tcW w:w="6164" w:type="dxa"/>
            <w:vAlign w:val="top"/>
          </w:tcPr>
          <w:p>
            <w:pPr>
              <w:spacing w:line="500" w:lineRule="exact"/>
              <w:rPr>
                <w:rFonts w:ascii="仿宋_GB2312"/>
              </w:rPr>
            </w:pPr>
            <w:r>
              <w:rPr>
                <w:rFonts w:hint="eastAsia" w:ascii="仿宋_GB2312"/>
              </w:rPr>
              <w:t>吃、住、行、游、购、娱等旅游要素设施配套完善。旅游景区、景点的环境质量、景观质量、服务质量不低于相应等级标准要求。旅游产品类型多样、结构合理，能够满足不同人群和不同层次的需求。辖区内有5A景区，有乡村旅游精品线路，有红色旅游融合发展试点。智慧旅游全面支撑面向游客的导航、导游、导览、导购等，景区景点内有智慧化、沉浸式体验项目。（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7.2</w:t>
            </w:r>
          </w:p>
        </w:tc>
        <w:tc>
          <w:tcPr>
            <w:tcW w:w="1671" w:type="dxa"/>
            <w:vAlign w:val="center"/>
          </w:tcPr>
          <w:p>
            <w:pPr>
              <w:spacing w:line="500" w:lineRule="exact"/>
              <w:rPr>
                <w:rFonts w:ascii="仿宋_GB2312"/>
              </w:rPr>
            </w:pPr>
            <w:r>
              <w:rPr>
                <w:rFonts w:hint="eastAsia" w:ascii="仿宋_GB2312"/>
              </w:rPr>
              <w:t>旅游产品创新</w:t>
            </w:r>
          </w:p>
        </w:tc>
        <w:tc>
          <w:tcPr>
            <w:tcW w:w="6164" w:type="dxa"/>
            <w:vAlign w:val="top"/>
          </w:tcPr>
          <w:p>
            <w:pPr>
              <w:spacing w:line="500" w:lineRule="exact"/>
              <w:rPr>
                <w:rFonts w:ascii="仿宋_GB2312"/>
              </w:rPr>
            </w:pPr>
            <w:r>
              <w:rPr>
                <w:rFonts w:hint="eastAsia" w:ascii="仿宋_GB2312"/>
              </w:rPr>
              <w:t>紧密结合当地资源禀赋、宏观政策导向打造特色品牌产品。大力发展红色旅游、乡村旅游、康养旅游、研学旅游、邮轮旅游、度假旅游、商旅文体联动等特色旅游产品，在倡导文明旅游、旅游服务、旅游管理、旅游营销等方面有创新手段、方式应用。（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7.3</w:t>
            </w:r>
          </w:p>
        </w:tc>
        <w:tc>
          <w:tcPr>
            <w:tcW w:w="1671" w:type="dxa"/>
            <w:vAlign w:val="center"/>
          </w:tcPr>
          <w:p>
            <w:pPr>
              <w:spacing w:line="500" w:lineRule="exact"/>
              <w:rPr>
                <w:rFonts w:ascii="仿宋_GB2312"/>
              </w:rPr>
            </w:pPr>
            <w:r>
              <w:rPr>
                <w:rFonts w:hint="eastAsia" w:ascii="仿宋_GB2312"/>
              </w:rPr>
              <w:t>旅游公共服务</w:t>
            </w:r>
          </w:p>
        </w:tc>
        <w:tc>
          <w:tcPr>
            <w:tcW w:w="6164" w:type="dxa"/>
            <w:vAlign w:val="top"/>
          </w:tcPr>
          <w:p>
            <w:pPr>
              <w:spacing w:line="500" w:lineRule="exact"/>
              <w:rPr>
                <w:rFonts w:ascii="仿宋_GB2312"/>
              </w:rPr>
            </w:pPr>
            <w:r>
              <w:rPr>
                <w:rFonts w:hint="eastAsia" w:ascii="仿宋_GB2312"/>
              </w:rPr>
              <w:t>线上线下相结合的旅游公共信息服务体系健全。旅游集散中心、旅游标识标牌建设等旅游公共交通服务完善。旅游应急救援服务机制强化、设施设备优化。开展形式多样的旅游惠民便民服务。旅游景区环境综合治理有措施、效果好。具备多语种特别是日语、韩语的旅游引导标识系统和翻译服务能力。旅游景区景点公共环境的旅游厕所设置、管理符合标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7.4</w:t>
            </w:r>
          </w:p>
        </w:tc>
        <w:tc>
          <w:tcPr>
            <w:tcW w:w="1671" w:type="dxa"/>
            <w:vAlign w:val="center"/>
          </w:tcPr>
          <w:p>
            <w:pPr>
              <w:spacing w:line="500" w:lineRule="exact"/>
              <w:rPr>
                <w:rFonts w:ascii="仿宋_GB2312"/>
              </w:rPr>
            </w:pPr>
            <w:r>
              <w:rPr>
                <w:rFonts w:hint="eastAsia" w:ascii="仿宋_GB2312"/>
              </w:rPr>
              <w:t>旅游服务质量</w:t>
            </w:r>
          </w:p>
        </w:tc>
        <w:tc>
          <w:tcPr>
            <w:tcW w:w="6164" w:type="dxa"/>
            <w:vAlign w:val="top"/>
          </w:tcPr>
          <w:p>
            <w:pPr>
              <w:spacing w:line="500" w:lineRule="exact"/>
              <w:rPr>
                <w:rFonts w:ascii="仿宋_GB2312"/>
              </w:rPr>
            </w:pPr>
            <w:r>
              <w:rPr>
                <w:rFonts w:hint="eastAsia" w:ascii="仿宋_GB2312"/>
              </w:rPr>
              <w:t>旅游景区景点有旅游质量公示与承诺制度。景区景点和政府主管部门有旅游服务质量评价体系和督查机制，有完善便捷的游客投诉与反馈渠道。旅游市场监管有队伍、有标准、有常态化机制。（20分）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874" w:type="dxa"/>
            <w:vAlign w:val="center"/>
          </w:tcPr>
          <w:p>
            <w:pPr>
              <w:spacing w:line="500" w:lineRule="exact"/>
              <w:rPr>
                <w:rFonts w:ascii="仿宋_GB2312"/>
              </w:rPr>
            </w:pPr>
            <w:r>
              <w:rPr>
                <w:rFonts w:hint="eastAsia" w:ascii="仿宋_GB2312"/>
              </w:rPr>
              <w:t>7.5</w:t>
            </w:r>
          </w:p>
        </w:tc>
        <w:tc>
          <w:tcPr>
            <w:tcW w:w="1671" w:type="dxa"/>
            <w:vAlign w:val="center"/>
          </w:tcPr>
          <w:p>
            <w:pPr>
              <w:spacing w:line="500" w:lineRule="exact"/>
              <w:rPr>
                <w:rFonts w:ascii="仿宋_GB2312"/>
              </w:rPr>
            </w:pPr>
            <w:r>
              <w:rPr>
                <w:rFonts w:hint="eastAsia" w:ascii="仿宋_GB2312"/>
              </w:rPr>
              <w:t>文化和旅游融合发展</w:t>
            </w:r>
          </w:p>
        </w:tc>
        <w:tc>
          <w:tcPr>
            <w:tcW w:w="6164" w:type="dxa"/>
            <w:vAlign w:val="top"/>
          </w:tcPr>
          <w:p>
            <w:pPr>
              <w:spacing w:line="500" w:lineRule="exact"/>
              <w:rPr>
                <w:rFonts w:ascii="仿宋_GB2312"/>
              </w:rPr>
            </w:pPr>
            <w:r>
              <w:rPr>
                <w:rFonts w:hint="eastAsia" w:ascii="仿宋_GB2312"/>
              </w:rPr>
              <w:t>依托文化资源培育旅游产品，将独具特色的文化内容、文化符号、文化故事融入景区景点，纳入旅游的线路设计、展陈展示、讲解阐释，形成独具魅力的中华文化旅游体验，体现以文塑旅。发挥旅游覆盖面广、市场化程度高等优势，用好旅游景区、导游人员、中外游客等媒介，传播弘扬中华文化，引导游客感知中华文化及其对东亚地区的影响，体现以旅彰文。文化设施增强旅游吸引力，打造主客共享的新空间、新服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7.6</w:t>
            </w:r>
          </w:p>
        </w:tc>
        <w:tc>
          <w:tcPr>
            <w:tcW w:w="1671" w:type="dxa"/>
            <w:vAlign w:val="center"/>
          </w:tcPr>
          <w:p>
            <w:pPr>
              <w:spacing w:line="500" w:lineRule="exact"/>
              <w:rPr>
                <w:rFonts w:ascii="仿宋_GB2312"/>
              </w:rPr>
            </w:pPr>
            <w:r>
              <w:rPr>
                <w:rFonts w:hint="eastAsia" w:ascii="仿宋_GB2312"/>
              </w:rPr>
              <w:t>加分项</w:t>
            </w:r>
          </w:p>
        </w:tc>
        <w:tc>
          <w:tcPr>
            <w:tcW w:w="6164" w:type="dxa"/>
            <w:vAlign w:val="top"/>
          </w:tcPr>
          <w:p>
            <w:pPr>
              <w:spacing w:line="500" w:lineRule="exact"/>
              <w:ind w:left="320" w:hanging="320" w:hangingChars="100"/>
              <w:rPr>
                <w:rFonts w:ascii="仿宋_GB2312"/>
              </w:rPr>
            </w:pPr>
            <w:r>
              <w:rPr>
                <w:rFonts w:hint="eastAsia" w:ascii="仿宋_GB2312"/>
              </w:rPr>
              <w:t>1.有自然资源被联合国教科文组织列入《世界遗产名录》。（10分）</w:t>
            </w:r>
          </w:p>
          <w:p>
            <w:pPr>
              <w:spacing w:line="500" w:lineRule="exact"/>
              <w:ind w:left="320" w:hanging="320" w:hangingChars="100"/>
              <w:rPr>
                <w:rFonts w:hint="eastAsia" w:ascii="仿宋_GB2312"/>
              </w:rPr>
            </w:pPr>
            <w:r>
              <w:rPr>
                <w:rFonts w:hint="eastAsia" w:ascii="仿宋_GB2312"/>
              </w:rPr>
              <w:t>2.获得“国家全域旅游示范区”称号。（10分）</w:t>
            </w:r>
          </w:p>
          <w:p>
            <w:pPr>
              <w:spacing w:line="500" w:lineRule="exact"/>
              <w:ind w:left="320" w:hanging="320" w:hangingChars="100"/>
              <w:rPr>
                <w:rFonts w:hint="eastAsia" w:ascii="仿宋_GB2312"/>
              </w:rPr>
            </w:pPr>
            <w:r>
              <w:rPr>
                <w:rFonts w:hint="eastAsia" w:ascii="仿宋_GB2312"/>
              </w:rPr>
              <w:t>3.有促进东亚地区及日本、韩国“东亚文化之都”城市入境旅游的特殊政策措施。（8分）</w:t>
            </w:r>
          </w:p>
          <w:p>
            <w:pPr>
              <w:spacing w:line="500" w:lineRule="exact"/>
              <w:ind w:left="320" w:hanging="320" w:hangingChars="100"/>
              <w:rPr>
                <w:rFonts w:ascii="仿宋_GB2312"/>
              </w:rPr>
            </w:pPr>
            <w:r>
              <w:rPr>
                <w:rFonts w:hint="eastAsia" w:ascii="仿宋_GB2312"/>
              </w:rPr>
              <w:t>4.有省部级以上认定、表彰的文化和旅游融合发展创新案例。（5分）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b/>
                <w:bCs/>
              </w:rPr>
            </w:pPr>
            <w:r>
              <w:rPr>
                <w:rFonts w:hint="eastAsia" w:ascii="仿宋_GB2312"/>
                <w:b/>
                <w:bCs/>
              </w:rPr>
              <w:t>8.</w:t>
            </w:r>
          </w:p>
        </w:tc>
        <w:tc>
          <w:tcPr>
            <w:tcW w:w="7835" w:type="dxa"/>
            <w:gridSpan w:val="2"/>
            <w:vAlign w:val="center"/>
          </w:tcPr>
          <w:p>
            <w:pPr>
              <w:spacing w:line="500" w:lineRule="exact"/>
              <w:rPr>
                <w:rFonts w:ascii="仿宋_GB2312"/>
                <w:b/>
                <w:bCs/>
              </w:rPr>
            </w:pPr>
            <w:r>
              <w:rPr>
                <w:rFonts w:hint="eastAsia" w:ascii="仿宋_GB2312"/>
                <w:b/>
                <w:bCs/>
              </w:rPr>
              <w:t>保障措施（100分）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8.1</w:t>
            </w:r>
          </w:p>
        </w:tc>
        <w:tc>
          <w:tcPr>
            <w:tcW w:w="1671" w:type="dxa"/>
            <w:vAlign w:val="center"/>
          </w:tcPr>
          <w:p>
            <w:pPr>
              <w:spacing w:line="500" w:lineRule="exact"/>
              <w:rPr>
                <w:rFonts w:ascii="仿宋_GB2312"/>
              </w:rPr>
            </w:pPr>
            <w:r>
              <w:rPr>
                <w:rFonts w:hint="eastAsia" w:ascii="仿宋_GB2312"/>
              </w:rPr>
              <w:t>组织保障</w:t>
            </w:r>
          </w:p>
        </w:tc>
        <w:tc>
          <w:tcPr>
            <w:tcW w:w="6164" w:type="dxa"/>
            <w:vAlign w:val="top"/>
          </w:tcPr>
          <w:p>
            <w:pPr>
              <w:spacing w:line="500" w:lineRule="exact"/>
              <w:rPr>
                <w:rFonts w:ascii="仿宋_GB2312"/>
              </w:rPr>
            </w:pPr>
            <w:r>
              <w:rPr>
                <w:rFonts w:hint="eastAsia" w:ascii="仿宋_GB2312"/>
              </w:rPr>
              <w:t>“东亚文化之都”工作纳入当地经济社会发展总体规划及文化和旅游主管部门重点工作，纳入政府考核评价体系，纳入政府、人大、政协督查、调研工作范畴。地方政府设立专门的组织和执行机构。（30分）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8.2</w:t>
            </w:r>
          </w:p>
        </w:tc>
        <w:tc>
          <w:tcPr>
            <w:tcW w:w="1671" w:type="dxa"/>
            <w:vAlign w:val="center"/>
          </w:tcPr>
          <w:p>
            <w:pPr>
              <w:spacing w:line="500" w:lineRule="exact"/>
              <w:rPr>
                <w:rFonts w:ascii="仿宋_GB2312"/>
              </w:rPr>
            </w:pPr>
            <w:r>
              <w:rPr>
                <w:rFonts w:hint="eastAsia" w:ascii="仿宋_GB2312"/>
              </w:rPr>
              <w:t>经费保障</w:t>
            </w:r>
          </w:p>
        </w:tc>
        <w:tc>
          <w:tcPr>
            <w:tcW w:w="6164" w:type="dxa"/>
            <w:vAlign w:val="top"/>
          </w:tcPr>
          <w:p>
            <w:pPr>
              <w:spacing w:line="500" w:lineRule="exact"/>
              <w:rPr>
                <w:rFonts w:ascii="仿宋_GB2312"/>
              </w:rPr>
            </w:pPr>
            <w:r>
              <w:rPr>
                <w:rFonts w:hint="eastAsia" w:ascii="仿宋_GB2312"/>
              </w:rPr>
              <w:t>地方政府能满足“东亚文化之都”活动年开展各项活动的经费需求，建立推动“东亚文化之都”常态化创新发展的经费保障机制。（40分）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8.3</w:t>
            </w:r>
          </w:p>
        </w:tc>
        <w:tc>
          <w:tcPr>
            <w:tcW w:w="1671" w:type="dxa"/>
            <w:vAlign w:val="center"/>
          </w:tcPr>
          <w:p>
            <w:pPr>
              <w:spacing w:line="500" w:lineRule="exact"/>
              <w:rPr>
                <w:rFonts w:ascii="仿宋_GB2312"/>
              </w:rPr>
            </w:pPr>
            <w:r>
              <w:rPr>
                <w:rFonts w:hint="eastAsia" w:ascii="仿宋_GB2312"/>
              </w:rPr>
              <w:t>宣传推广</w:t>
            </w:r>
          </w:p>
        </w:tc>
        <w:tc>
          <w:tcPr>
            <w:tcW w:w="6164" w:type="dxa"/>
            <w:vAlign w:val="top"/>
          </w:tcPr>
          <w:p>
            <w:pPr>
              <w:spacing w:line="500" w:lineRule="exact"/>
              <w:rPr>
                <w:rFonts w:ascii="仿宋_GB2312"/>
              </w:rPr>
            </w:pPr>
            <w:r>
              <w:rPr>
                <w:rFonts w:hint="eastAsia" w:ascii="仿宋_GB2312"/>
              </w:rPr>
              <w:t>形成多部门合力的“东亚文化之都”宣传推广机制。综合运用国内外融媒体，创新表达方式，提升宣传推广触达率。形成“东亚文化之都”宣传推广矩阵。（20分）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4" w:type="dxa"/>
            <w:vAlign w:val="center"/>
          </w:tcPr>
          <w:p>
            <w:pPr>
              <w:spacing w:line="500" w:lineRule="exact"/>
              <w:rPr>
                <w:rFonts w:ascii="仿宋_GB2312"/>
              </w:rPr>
            </w:pPr>
            <w:r>
              <w:rPr>
                <w:rFonts w:hint="eastAsia" w:ascii="仿宋_GB2312"/>
              </w:rPr>
              <w:t>8.4</w:t>
            </w:r>
          </w:p>
        </w:tc>
        <w:tc>
          <w:tcPr>
            <w:tcW w:w="1671" w:type="dxa"/>
            <w:vAlign w:val="center"/>
          </w:tcPr>
          <w:p>
            <w:pPr>
              <w:spacing w:line="500" w:lineRule="exact"/>
              <w:rPr>
                <w:rFonts w:ascii="仿宋_GB2312"/>
              </w:rPr>
            </w:pPr>
            <w:r>
              <w:rPr>
                <w:rFonts w:hint="eastAsia" w:ascii="仿宋_GB2312"/>
              </w:rPr>
              <w:t>加分项</w:t>
            </w:r>
          </w:p>
        </w:tc>
        <w:tc>
          <w:tcPr>
            <w:tcW w:w="6164" w:type="dxa"/>
            <w:vAlign w:val="top"/>
          </w:tcPr>
          <w:p>
            <w:pPr>
              <w:spacing w:line="500" w:lineRule="exact"/>
              <w:rPr>
                <w:rStyle w:val="6"/>
                <w:rFonts w:ascii="仿宋_GB2312"/>
                <w:sz w:val="32"/>
                <w:szCs w:val="32"/>
              </w:rPr>
            </w:pPr>
            <w:r>
              <w:rPr>
                <w:rFonts w:hint="eastAsia" w:ascii="仿宋_GB2312"/>
              </w:rPr>
              <w:t>“东亚文化之都”筹备、活动年及后续建设全过程的经费保障数量明确、持续稳定，有常态化的领导机构、人员配备和推进措施。（10分)</w:t>
            </w:r>
          </w:p>
        </w:tc>
      </w:tr>
    </w:tbl>
    <w:p>
      <w:pPr>
        <w:spacing w:line="580" w:lineRule="exact"/>
        <w:rPr>
          <w:rFonts w:hint="eastAsia" w:ascii="楷体_GB2312" w:hAnsi="仿宋_GB2312" w:eastAsia="楷体_GB2312" w:cs="仿宋_GB2312"/>
          <w:sz w:val="36"/>
          <w:szCs w:val="36"/>
        </w:rPr>
      </w:pPr>
      <w:r>
        <w:rPr>
          <w:rFonts w:hint="eastAsia" w:ascii="楷体_GB2312" w:hAnsi="仿宋_GB2312" w:eastAsia="楷体_GB2312" w:cs="仿宋_GB2312"/>
          <w:sz w:val="36"/>
          <w:szCs w:val="36"/>
        </w:rPr>
        <w:t xml:space="preserve"> </w:t>
      </w:r>
    </w:p>
    <w:p>
      <w:pPr>
        <w:autoSpaceDE w:val="0"/>
        <w:spacing w:line="580" w:lineRule="exact"/>
        <w:rPr>
          <w:rFonts w:hint="eastAsia" w:ascii="仿宋_GB2312"/>
        </w:rPr>
      </w:pPr>
      <w:r>
        <w:rPr>
          <w:rFonts w:hint="eastAsia" w:ascii="仿宋_GB2312"/>
        </w:rPr>
        <w:t>说明：</w:t>
      </w:r>
    </w:p>
    <w:p>
      <w:pPr>
        <w:autoSpaceDE w:val="0"/>
        <w:spacing w:line="580" w:lineRule="exact"/>
        <w:ind w:firstLine="640" w:firstLineChars="200"/>
        <w:rPr>
          <w:rFonts w:hint="eastAsia" w:ascii="仿宋_GB2312"/>
        </w:rPr>
      </w:pPr>
      <w:r>
        <w:rPr>
          <w:rFonts w:hint="eastAsia" w:ascii="仿宋_GB2312"/>
        </w:rPr>
        <w:t>1.评分导则是评价申报中国“东亚文化之都”城市基本条件、发展水平和支撑能力的主要依据。</w:t>
      </w:r>
    </w:p>
    <w:p>
      <w:pPr>
        <w:autoSpaceDE w:val="0"/>
        <w:spacing w:line="580" w:lineRule="exact"/>
        <w:ind w:firstLine="640" w:firstLineChars="200"/>
        <w:rPr>
          <w:rFonts w:hint="eastAsia" w:ascii="仿宋_GB2312"/>
        </w:rPr>
      </w:pPr>
      <w:r>
        <w:rPr>
          <w:rFonts w:hint="eastAsia" w:ascii="仿宋_GB2312"/>
        </w:rPr>
        <w:t>2.评分导则涉及城市文化特色与文化创新创造（100分）、优秀传统文化保护与传承（120分）、文艺作品创作与传播（100分）、公共文化服务体系建设（120分）、文化产业与消费（130分）、国际交流与文化传播（200分）、旅游产品、服务与文旅融合（130分）、保障措施（100分）等8大方面41个小项，共1000分。</w:t>
      </w:r>
    </w:p>
    <w:p>
      <w:pPr>
        <w:autoSpaceDE w:val="0"/>
        <w:spacing w:line="580" w:lineRule="exact"/>
        <w:ind w:firstLine="640" w:firstLineChars="200"/>
        <w:rPr>
          <w:rFonts w:hint="eastAsia" w:ascii="仿宋_GB2312"/>
        </w:rPr>
      </w:pPr>
      <w:r>
        <w:rPr>
          <w:rFonts w:hint="eastAsia" w:ascii="仿宋_GB2312"/>
        </w:rPr>
        <w:t>3.评分指标包括基本评价指标项目和加分项。加分项由已有的客观性荣誉、标志性成果构成。</w:t>
      </w:r>
    </w:p>
    <w:p>
      <w:pPr>
        <w:autoSpaceDE w:val="0"/>
        <w:spacing w:line="580" w:lineRule="exact"/>
        <w:ind w:firstLine="640" w:firstLineChars="200"/>
      </w:pPr>
      <w:r>
        <w:rPr>
          <w:rFonts w:hint="eastAsia" w:ascii="仿宋_GB2312"/>
        </w:rPr>
        <w:t>4.每一方面具备多个加分项条件的，按照最高得分单项计算，不累计。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57B97"/>
    <w:rsid w:val="35A8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link w:val="4"/>
    <w:semiHidden/>
    <w:uiPriority w:val="0"/>
    <w:rPr>
      <w:rFonts w:eastAsia="宋体"/>
      <w:sz w:val="21"/>
      <w:szCs w:val="24"/>
    </w:rPr>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customStyle="1" w:styleId="4">
    <w:name w:val="Char Char1 Char Char Char Char"/>
    <w:basedOn w:val="1"/>
    <w:link w:val="3"/>
    <w:semiHidden/>
    <w:uiPriority w:val="0"/>
    <w:rPr>
      <w:rFonts w:eastAsia="宋体"/>
      <w:sz w:val="21"/>
      <w:szCs w:val="24"/>
    </w:rPr>
  </w:style>
  <w:style w:type="character" w:customStyle="1" w:styleId="6">
    <w:name w:val="15"/>
    <w:basedOn w:val="3"/>
    <w:uiPriority w:val="0"/>
    <w:rPr>
      <w:rFonts w:hint="default" w:ascii="Calibri" w:hAnsi="Calibr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2025-09-29T08:08:06Z</dcterms:created>
  <dc:creator>LL</dc:creator>
  <cp:lastModifiedBy>LL</cp:lastModifiedBy>
  <dcterms:modified xsi:type="dcterms:W3CDTF">2025-09-29T08:16:58Z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