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6ECEB">
      <w:pPr>
        <w:spacing w:line="560" w:lineRule="exact"/>
        <w:rPr>
          <w:rFonts w:hint="eastAsia" w:ascii="黑体" w:hAnsi="方正小标宋简体" w:eastAsia="黑体" w:cs="方正小标宋简体"/>
          <w:lang w:val="en"/>
        </w:rPr>
      </w:pPr>
      <w:r>
        <w:rPr>
          <w:rFonts w:hint="eastAsia" w:ascii="黑体" w:hAnsi="方正小标宋简体" w:eastAsia="黑体" w:cs="方正小标宋简体"/>
          <w:lang w:val="en"/>
        </w:rPr>
        <w:t>附件1</w:t>
      </w:r>
    </w:p>
    <w:p w14:paraId="77863328">
      <w:pPr>
        <w:spacing w:line="560" w:lineRule="exact"/>
        <w:jc w:val="center"/>
        <w:rPr>
          <w:rFonts w:hint="eastAsia" w:ascii="方正小标宋简体" w:hAnsi="方正小标宋简体" w:eastAsia="方正小标宋简体" w:cs="方正小标宋简体"/>
          <w:sz w:val="44"/>
          <w:szCs w:val="44"/>
          <w:lang w:val="en"/>
        </w:rPr>
      </w:pPr>
    </w:p>
    <w:p w14:paraId="19C937CB">
      <w:pPr>
        <w:spacing w:line="56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lang w:val="en"/>
        </w:rPr>
        <w:t>2026</w:t>
      </w:r>
      <w:r>
        <w:rPr>
          <w:rFonts w:hint="eastAsia" w:ascii="方正小标宋简体" w:hAnsi="方正小标宋简体" w:eastAsia="方正小标宋简体" w:cs="方正小标宋简体"/>
          <w:sz w:val="44"/>
          <w:szCs w:val="44"/>
          <w:lang w:val="en"/>
        </w:rPr>
        <w:t>年</w:t>
      </w:r>
      <w:r>
        <w:rPr>
          <w:rFonts w:hint="eastAsia" w:ascii="方正小标宋简体" w:hAnsi="方正小标宋简体" w:eastAsia="方正小标宋简体" w:cs="方正小标宋简体"/>
          <w:sz w:val="44"/>
          <w:szCs w:val="44"/>
        </w:rPr>
        <w:t>“东亚文化之都”</w:t>
      </w:r>
    </w:p>
    <w:p w14:paraId="311EE2A1">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申报、验收、认定和管理实施办法</w:t>
      </w:r>
    </w:p>
    <w:p w14:paraId="1CE471FE">
      <w:pPr>
        <w:spacing w:line="560" w:lineRule="exact"/>
        <w:jc w:val="center"/>
        <w:rPr>
          <w:sz w:val="44"/>
          <w:szCs w:val="44"/>
        </w:rPr>
      </w:pPr>
      <w:r>
        <w:rPr>
          <w:sz w:val="44"/>
          <w:szCs w:val="44"/>
        </w:rPr>
        <w:t xml:space="preserve"> </w:t>
      </w:r>
      <w:bookmarkStart w:id="0" w:name="_GoBack"/>
      <w:bookmarkEnd w:id="0"/>
    </w:p>
    <w:p w14:paraId="07D15A47">
      <w:pPr>
        <w:pStyle w:val="5"/>
        <w:widowControl/>
        <w:numPr>
          <w:ilvl w:val="0"/>
          <w:numId w:val="1"/>
        </w:numPr>
        <w:adjustRightInd w:val="0"/>
        <w:snapToGrid w:val="0"/>
        <w:spacing w:line="560" w:lineRule="exact"/>
        <w:jc w:val="center"/>
        <w:rPr>
          <w:rFonts w:hint="eastAsia" w:ascii="黑体" w:hAnsi="黑体" w:eastAsia="黑体"/>
          <w:kern w:val="0"/>
          <w:sz w:val="32"/>
          <w:szCs w:val="32"/>
        </w:rPr>
      </w:pPr>
      <w:r>
        <w:rPr>
          <w:rFonts w:hint="eastAsia" w:ascii="黑体" w:hAnsi="黑体" w:eastAsia="黑体"/>
          <w:kern w:val="0"/>
          <w:sz w:val="32"/>
          <w:szCs w:val="32"/>
        </w:rPr>
        <w:t>总</w:t>
      </w:r>
      <w:r>
        <w:rPr>
          <w:rFonts w:hint="eastAsia" w:ascii="黑体" w:hAnsi="宋体" w:eastAsia="黑体"/>
          <w:kern w:val="0"/>
          <w:sz w:val="32"/>
          <w:szCs w:val="32"/>
        </w:rPr>
        <w:t xml:space="preserve">  </w:t>
      </w:r>
      <w:r>
        <w:rPr>
          <w:rFonts w:hint="eastAsia" w:ascii="黑体" w:hAnsi="黑体" w:eastAsia="黑体"/>
          <w:kern w:val="0"/>
          <w:sz w:val="32"/>
          <w:szCs w:val="32"/>
        </w:rPr>
        <w:t>则</w:t>
      </w:r>
    </w:p>
    <w:p w14:paraId="15B90465">
      <w:pPr>
        <w:widowControl/>
        <w:adjustRightInd w:val="0"/>
        <w:snapToGrid w:val="0"/>
        <w:spacing w:line="560" w:lineRule="exact"/>
        <w:ind w:firstLine="640" w:firstLineChars="200"/>
        <w:rPr>
          <w:rFonts w:ascii="仿宋_GB2312"/>
          <w:kern w:val="0"/>
        </w:rPr>
      </w:pPr>
      <w:r>
        <w:rPr>
          <w:rFonts w:hint="eastAsia" w:ascii="黑体" w:hAnsi="黑体" w:eastAsia="黑体"/>
          <w:kern w:val="0"/>
        </w:rPr>
        <w:t>第一条</w:t>
      </w:r>
      <w:r>
        <w:rPr>
          <w:rFonts w:hint="eastAsia" w:ascii="仿宋_GB2312"/>
          <w:kern w:val="0"/>
        </w:rPr>
        <w:t xml:space="preserve">  以习近平新时代中国特色社会主义思想为指导，全面</w:t>
      </w:r>
      <w:r>
        <w:rPr>
          <w:rFonts w:hint="eastAsia" w:ascii="仿宋_GB2312"/>
          <w:kern w:val="0"/>
          <w:lang w:eastAsia="zh-Hans"/>
        </w:rPr>
        <w:t>贯彻党的</w:t>
      </w:r>
      <w:r>
        <w:rPr>
          <w:rFonts w:hint="eastAsia" w:ascii="仿宋_GB2312"/>
          <w:kern w:val="0"/>
        </w:rPr>
        <w:t>二十大和</w:t>
      </w:r>
      <w:r>
        <w:rPr>
          <w:rFonts w:hint="eastAsia" w:ascii="仿宋_GB2312"/>
          <w:kern w:val="0"/>
          <w:lang w:eastAsia="zh-Hans"/>
        </w:rPr>
        <w:t>二十届</w:t>
      </w:r>
      <w:r>
        <w:rPr>
          <w:rFonts w:hint="eastAsia" w:ascii="仿宋_GB2312"/>
          <w:kern w:val="0"/>
        </w:rPr>
        <w:t>二中、</w:t>
      </w:r>
      <w:r>
        <w:rPr>
          <w:rFonts w:hint="eastAsia" w:ascii="仿宋_GB2312"/>
          <w:kern w:val="0"/>
          <w:lang w:eastAsia="zh-Hans"/>
        </w:rPr>
        <w:t>三中全会精神</w:t>
      </w:r>
      <w:r>
        <w:rPr>
          <w:rFonts w:ascii="仿宋_GB2312"/>
          <w:kern w:val="0"/>
          <w:lang w:eastAsia="zh-Hans"/>
        </w:rPr>
        <w:t>，</w:t>
      </w:r>
      <w:r>
        <w:rPr>
          <w:rFonts w:hint="eastAsia" w:ascii="仿宋_GB2312"/>
          <w:kern w:val="0"/>
        </w:rPr>
        <w:t>深入学习贯彻习近平文化思想和习近平总书记关于旅游工作的重要指示精神，践行习近平总书记提出的“全球文明倡议”，落实中日韩领导人会议联合声明，以及中日韩文化部长会议、中日韩旅游部长会议要求，遵照“东亚意识、文化交融、彼此欣赏”的发展宗旨，为推动我国城市创新发展，增强中华文化传播力影响力，促进旅游业高质量发展行稳致远，助力文化强国和旅游强国建设，制定本办法。</w:t>
      </w:r>
    </w:p>
    <w:p w14:paraId="79CECC90">
      <w:pPr>
        <w:adjustRightInd w:val="0"/>
        <w:snapToGrid w:val="0"/>
        <w:spacing w:line="560" w:lineRule="exact"/>
        <w:ind w:firstLine="640" w:firstLineChars="200"/>
        <w:rPr>
          <w:rFonts w:ascii="仿宋_GB2312"/>
          <w:kern w:val="0"/>
        </w:rPr>
      </w:pPr>
      <w:r>
        <w:rPr>
          <w:rFonts w:hint="eastAsia" w:ascii="黑体" w:hAnsi="黑体" w:eastAsia="黑体"/>
          <w:kern w:val="0"/>
        </w:rPr>
        <w:t>第二条</w:t>
      </w:r>
      <w:r>
        <w:rPr>
          <w:rFonts w:hint="eastAsia" w:ascii="仿宋_GB2312"/>
          <w:kern w:val="0"/>
        </w:rPr>
        <w:t xml:space="preserve">  本办法所称“东亚文化之都”，是指具备丰富的地方文化和旅游资源、鲜明的地方文化特色，同时具备一定的东亚文化和旅游资源并体现东亚文化精神，对促进东亚文化和旅游交流与互学互鉴具有引领示范作用，经过一定程序认定的城市。</w:t>
      </w:r>
    </w:p>
    <w:p w14:paraId="2AB8AF99">
      <w:pPr>
        <w:adjustRightInd w:val="0"/>
        <w:snapToGrid w:val="0"/>
        <w:spacing w:line="560" w:lineRule="exact"/>
        <w:ind w:firstLine="640" w:firstLineChars="200"/>
        <w:rPr>
          <w:rFonts w:ascii="仿宋_GB2312"/>
          <w:kern w:val="0"/>
        </w:rPr>
      </w:pPr>
      <w:r>
        <w:rPr>
          <w:rFonts w:hint="eastAsia" w:ascii="黑体" w:hAnsi="黑体" w:eastAsia="黑体"/>
          <w:kern w:val="0"/>
        </w:rPr>
        <w:t xml:space="preserve">第三条 </w:t>
      </w:r>
      <w:r>
        <w:rPr>
          <w:rFonts w:hint="eastAsia" w:ascii="仿宋_GB2312"/>
          <w:kern w:val="0"/>
        </w:rPr>
        <w:t xml:space="preserve"> </w:t>
      </w:r>
      <w:r>
        <w:rPr>
          <w:rFonts w:hint="eastAsia"/>
          <w:kern w:val="0"/>
        </w:rPr>
        <w:t>“</w:t>
      </w:r>
      <w:r>
        <w:rPr>
          <w:kern w:val="0"/>
        </w:rPr>
        <w:t>东亚文化之都</w:t>
      </w:r>
      <w:r>
        <w:rPr>
          <w:rFonts w:hint="eastAsia"/>
          <w:kern w:val="0"/>
        </w:rPr>
        <w:t>”</w:t>
      </w:r>
      <w:r>
        <w:rPr>
          <w:rFonts w:hint="eastAsia" w:ascii="仿宋_GB2312"/>
          <w:kern w:val="0"/>
        </w:rPr>
        <w:t>旨在发挥中日韩三国历史文化渊源深厚、文脉相通、传统相近、往来频繁的优势，在世界舞台展现东亚文化、增进文明互鉴的同时，传承和弘扬中华优秀传统文化，</w:t>
      </w:r>
      <w:r>
        <w:rPr>
          <w:rFonts w:hint="eastAsia" w:ascii="仿宋_GB2312"/>
          <w:kern w:val="0"/>
          <w:lang w:eastAsia="zh-Hans"/>
        </w:rPr>
        <w:t>促进旅游业高质量发展</w:t>
      </w:r>
      <w:r>
        <w:rPr>
          <w:rFonts w:ascii="仿宋_GB2312"/>
          <w:kern w:val="0"/>
          <w:lang w:eastAsia="zh-Hans"/>
        </w:rPr>
        <w:t>，</w:t>
      </w:r>
      <w:r>
        <w:rPr>
          <w:rFonts w:hint="eastAsia" w:ascii="仿宋_GB2312"/>
          <w:kern w:val="0"/>
        </w:rPr>
        <w:t>展示当代中国形象，增强国家文化软实力和中华文化传播力影响力。</w:t>
      </w:r>
    </w:p>
    <w:p w14:paraId="4DEC7063">
      <w:pPr>
        <w:adjustRightInd w:val="0"/>
        <w:snapToGrid w:val="0"/>
        <w:spacing w:line="560" w:lineRule="exact"/>
        <w:ind w:firstLine="640" w:firstLineChars="200"/>
        <w:rPr>
          <w:rFonts w:ascii="仿宋_GB2312"/>
          <w:kern w:val="0"/>
        </w:rPr>
      </w:pPr>
      <w:r>
        <w:rPr>
          <w:rFonts w:hint="eastAsia" w:ascii="黑体" w:hAnsi="黑体" w:eastAsia="黑体"/>
          <w:kern w:val="0"/>
        </w:rPr>
        <w:t>第四条</w:t>
      </w:r>
      <w:r>
        <w:rPr>
          <w:rFonts w:hint="eastAsia" w:ascii="仿宋_GB2312"/>
          <w:kern w:val="0"/>
        </w:rPr>
        <w:t xml:space="preserve">  2026年“东亚文化之都”的申报、验收、认定和管理工作，遵循“严格标准、注重实效、扩大影响、统一认定、动态管理”的原则，坚持公开、公平、公正，通过竞争性选拔择优认定。</w:t>
      </w:r>
    </w:p>
    <w:p w14:paraId="498C076A">
      <w:pPr>
        <w:pStyle w:val="5"/>
        <w:widowControl/>
        <w:tabs>
          <w:tab w:val="center" w:pos="4153"/>
        </w:tabs>
        <w:adjustRightInd w:val="0"/>
        <w:snapToGrid w:val="0"/>
        <w:spacing w:line="560" w:lineRule="exact"/>
        <w:jc w:val="center"/>
        <w:rPr>
          <w:rFonts w:ascii="黑体" w:hAnsi="宋体" w:eastAsia="黑体"/>
          <w:kern w:val="0"/>
          <w:sz w:val="32"/>
          <w:szCs w:val="32"/>
        </w:rPr>
      </w:pPr>
      <w:r>
        <w:rPr>
          <w:rFonts w:hint="eastAsia" w:ascii="黑体" w:hAnsi="黑体" w:eastAsia="黑体"/>
          <w:kern w:val="0"/>
          <w:sz w:val="32"/>
          <w:szCs w:val="32"/>
        </w:rPr>
        <w:t>第二章</w:t>
      </w:r>
      <w:r>
        <w:rPr>
          <w:rFonts w:hint="eastAsia" w:ascii="黑体" w:hAnsi="宋体" w:eastAsia="黑体"/>
          <w:kern w:val="0"/>
          <w:sz w:val="32"/>
          <w:szCs w:val="32"/>
        </w:rPr>
        <w:t xml:space="preserve">  </w:t>
      </w:r>
      <w:r>
        <w:rPr>
          <w:rFonts w:hint="eastAsia" w:ascii="黑体" w:hAnsi="黑体" w:eastAsia="黑体"/>
          <w:kern w:val="0"/>
          <w:sz w:val="32"/>
          <w:szCs w:val="32"/>
        </w:rPr>
        <w:t>职责及分工</w:t>
      </w:r>
    </w:p>
    <w:p w14:paraId="7D116100">
      <w:pPr>
        <w:widowControl/>
        <w:adjustRightInd w:val="0"/>
        <w:snapToGrid w:val="0"/>
        <w:spacing w:line="560" w:lineRule="exact"/>
        <w:ind w:firstLine="640" w:firstLineChars="200"/>
        <w:rPr>
          <w:rFonts w:ascii="仿宋_GB2312"/>
          <w:kern w:val="0"/>
        </w:rPr>
      </w:pPr>
      <w:r>
        <w:rPr>
          <w:rFonts w:hint="eastAsia" w:ascii="黑体" w:hAnsi="黑体" w:eastAsia="黑体"/>
          <w:kern w:val="0"/>
        </w:rPr>
        <w:t>第五条</w:t>
      </w:r>
      <w:r>
        <w:rPr>
          <w:rFonts w:hint="eastAsia" w:ascii="仿宋_GB2312"/>
          <w:kern w:val="0"/>
        </w:rPr>
        <w:t xml:space="preserve">  文化和旅游部统筹2026年“东亚文化之都”的相关申报、验收、认定、管理和持续发展指导等工作。 </w:t>
      </w:r>
    </w:p>
    <w:p w14:paraId="54EB7023">
      <w:pPr>
        <w:widowControl/>
        <w:adjustRightInd w:val="0"/>
        <w:snapToGrid w:val="0"/>
        <w:spacing w:line="560" w:lineRule="exact"/>
        <w:ind w:firstLine="640" w:firstLineChars="200"/>
        <w:rPr>
          <w:rFonts w:hint="eastAsia" w:ascii="仿宋_GB2312"/>
          <w:kern w:val="0"/>
        </w:rPr>
      </w:pPr>
      <w:r>
        <w:rPr>
          <w:rFonts w:hint="eastAsia" w:ascii="仿宋_GB2312"/>
          <w:kern w:val="0"/>
        </w:rPr>
        <w:t>文化和旅游部负责制定《2026年“东亚文化之都”评分导则》。</w:t>
      </w:r>
    </w:p>
    <w:p w14:paraId="5C6C31BE">
      <w:pPr>
        <w:widowControl/>
        <w:adjustRightInd w:val="0"/>
        <w:snapToGrid w:val="0"/>
        <w:spacing w:line="560" w:lineRule="exact"/>
        <w:ind w:firstLine="640" w:firstLineChars="200"/>
        <w:rPr>
          <w:rFonts w:ascii="仿宋_GB2312"/>
          <w:kern w:val="0"/>
        </w:rPr>
      </w:pPr>
      <w:r>
        <w:rPr>
          <w:rFonts w:hint="eastAsia" w:ascii="黑体" w:hAnsi="黑体" w:eastAsia="黑体"/>
          <w:kern w:val="0"/>
        </w:rPr>
        <w:t>第六条</w:t>
      </w:r>
      <w:r>
        <w:rPr>
          <w:rFonts w:hint="eastAsia" w:ascii="仿宋_GB2312"/>
          <w:kern w:val="0"/>
        </w:rPr>
        <w:t xml:space="preserve">  省、自治区、直辖市及新疆生产建设兵团文化和旅游行政部门牵头负责对本地区申报城市的自查、验收、评估、监督管理和持续发展指导等工作。</w:t>
      </w:r>
    </w:p>
    <w:p w14:paraId="187B7737">
      <w:pPr>
        <w:widowControl/>
        <w:adjustRightInd w:val="0"/>
        <w:snapToGrid w:val="0"/>
        <w:spacing w:line="560" w:lineRule="exact"/>
        <w:ind w:firstLine="640" w:firstLineChars="200"/>
        <w:rPr>
          <w:rFonts w:ascii="仿宋_GB2312"/>
          <w:kern w:val="0"/>
        </w:rPr>
      </w:pPr>
      <w:r>
        <w:rPr>
          <w:rFonts w:hint="eastAsia" w:ascii="黑体" w:hAnsi="黑体" w:eastAsia="黑体"/>
          <w:kern w:val="0"/>
        </w:rPr>
        <w:t>第七条</w:t>
      </w:r>
      <w:r>
        <w:rPr>
          <w:rFonts w:hint="eastAsia" w:ascii="仿宋_GB2312"/>
          <w:kern w:val="0"/>
        </w:rPr>
        <w:t xml:space="preserve">  申报城市的人民政府负责组织开展自评、申报、创建，并及时做好总结与整改、推动持续创新发展等相关工作。</w:t>
      </w:r>
    </w:p>
    <w:p w14:paraId="242D19F7">
      <w:pPr>
        <w:pStyle w:val="5"/>
        <w:widowControl/>
        <w:adjustRightInd w:val="0"/>
        <w:snapToGrid w:val="0"/>
        <w:spacing w:line="560" w:lineRule="exact"/>
        <w:jc w:val="center"/>
        <w:rPr>
          <w:rFonts w:ascii="黑体" w:hAnsi="宋体" w:eastAsia="黑体"/>
          <w:kern w:val="0"/>
          <w:sz w:val="32"/>
          <w:szCs w:val="32"/>
        </w:rPr>
      </w:pPr>
      <w:r>
        <w:rPr>
          <w:rFonts w:hint="eastAsia" w:ascii="黑体" w:hAnsi="黑体" w:eastAsia="黑体"/>
          <w:kern w:val="0"/>
          <w:sz w:val="32"/>
          <w:szCs w:val="32"/>
        </w:rPr>
        <w:t>第三章</w:t>
      </w:r>
      <w:r>
        <w:rPr>
          <w:rFonts w:hint="eastAsia" w:ascii="黑体" w:hAnsi="宋体" w:eastAsia="黑体"/>
          <w:kern w:val="0"/>
          <w:sz w:val="32"/>
          <w:szCs w:val="32"/>
        </w:rPr>
        <w:t xml:space="preserve">  </w:t>
      </w:r>
      <w:r>
        <w:rPr>
          <w:rFonts w:hint="eastAsia" w:ascii="黑体" w:hAnsi="黑体" w:eastAsia="黑体"/>
          <w:kern w:val="0"/>
          <w:sz w:val="32"/>
          <w:szCs w:val="32"/>
        </w:rPr>
        <w:t>流</w:t>
      </w:r>
      <w:r>
        <w:rPr>
          <w:rFonts w:hint="eastAsia" w:ascii="黑体" w:hAnsi="宋体" w:eastAsia="黑体"/>
          <w:kern w:val="0"/>
          <w:sz w:val="32"/>
          <w:szCs w:val="32"/>
        </w:rPr>
        <w:t xml:space="preserve">  </w:t>
      </w:r>
      <w:r>
        <w:rPr>
          <w:rFonts w:hint="eastAsia" w:ascii="黑体" w:hAnsi="黑体" w:eastAsia="黑体"/>
          <w:kern w:val="0"/>
          <w:sz w:val="32"/>
          <w:szCs w:val="32"/>
        </w:rPr>
        <w:t>程</w:t>
      </w:r>
    </w:p>
    <w:p w14:paraId="4F9ADA3E">
      <w:pPr>
        <w:adjustRightInd w:val="0"/>
        <w:snapToGrid w:val="0"/>
        <w:spacing w:line="560" w:lineRule="exact"/>
        <w:ind w:firstLine="640" w:firstLineChars="200"/>
        <w:rPr>
          <w:rFonts w:ascii="仿宋_GB2312"/>
          <w:kern w:val="0"/>
        </w:rPr>
      </w:pPr>
      <w:r>
        <w:rPr>
          <w:rFonts w:hint="eastAsia" w:ascii="黑体" w:hAnsi="黑体" w:eastAsia="黑体"/>
          <w:kern w:val="0"/>
        </w:rPr>
        <w:t>第八条</w:t>
      </w:r>
      <w:r>
        <w:rPr>
          <w:rFonts w:hint="eastAsia" w:ascii="仿宋_GB2312"/>
          <w:kern w:val="0"/>
        </w:rPr>
        <w:t xml:space="preserve">  自评与申报。申报城市按照《2026年“东亚文化之都”评分导则》进行自我评估后，填写《2026年“东亚文化之都”申报书》，并向省、自治区、直辖市及新疆生产建设兵团文化和旅游行政部门提出相关申报。</w:t>
      </w:r>
    </w:p>
    <w:p w14:paraId="75455A3F">
      <w:pPr>
        <w:adjustRightInd w:val="0"/>
        <w:snapToGrid w:val="0"/>
        <w:spacing w:line="560" w:lineRule="exact"/>
        <w:ind w:firstLine="640" w:firstLineChars="200"/>
        <w:rPr>
          <w:rFonts w:ascii="仿宋_GB2312"/>
          <w:kern w:val="0"/>
        </w:rPr>
      </w:pPr>
      <w:r>
        <w:rPr>
          <w:rFonts w:hint="eastAsia" w:ascii="黑体" w:hAnsi="黑体" w:eastAsia="黑体"/>
          <w:kern w:val="0"/>
        </w:rPr>
        <w:t>第九条</w:t>
      </w:r>
      <w:r>
        <w:rPr>
          <w:rFonts w:hint="eastAsia" w:ascii="黑体" w:hAnsi="宋体" w:eastAsia="黑体" w:cs="仿宋_GB2312"/>
          <w:kern w:val="0"/>
        </w:rPr>
        <w:t xml:space="preserve"> </w:t>
      </w:r>
      <w:r>
        <w:rPr>
          <w:rFonts w:hint="eastAsia" w:ascii="仿宋_GB2312"/>
          <w:kern w:val="0"/>
        </w:rPr>
        <w:t xml:space="preserve"> 省级验收。省、自治区、直辖市及新疆生产建设兵团文化和旅游行政部门负责组织对申报城市的省级评审验收工作，形成相应的评审验收报告。评审验收报告填写在《2026年“东亚文化之都”申报书》中。</w:t>
      </w:r>
    </w:p>
    <w:p w14:paraId="08A257B6">
      <w:pPr>
        <w:widowControl/>
        <w:adjustRightInd w:val="0"/>
        <w:snapToGrid w:val="0"/>
        <w:spacing w:line="560" w:lineRule="exact"/>
        <w:ind w:firstLine="640" w:firstLineChars="200"/>
        <w:rPr>
          <w:rFonts w:ascii="仿宋_GB2312"/>
          <w:kern w:val="0"/>
        </w:rPr>
      </w:pPr>
      <w:r>
        <w:rPr>
          <w:rFonts w:hint="eastAsia" w:ascii="黑体" w:hAnsi="黑体" w:eastAsia="黑体"/>
          <w:kern w:val="0"/>
        </w:rPr>
        <w:t>第十条</w:t>
      </w:r>
      <w:r>
        <w:rPr>
          <w:rFonts w:hint="eastAsia" w:ascii="黑体" w:hAnsi="宋体" w:eastAsia="黑体" w:cs="仿宋_GB2312"/>
          <w:kern w:val="0"/>
        </w:rPr>
        <w:t xml:space="preserve">  </w:t>
      </w:r>
      <w:r>
        <w:rPr>
          <w:rFonts w:hint="eastAsia" w:ascii="仿宋_GB2312"/>
          <w:kern w:val="0"/>
        </w:rPr>
        <w:t>国家验收。文化和旅游部按照“集中初审、实地暗访和终审答辩”的流程对申报城市进行评审验收工作。</w:t>
      </w:r>
    </w:p>
    <w:p w14:paraId="4B6EDC7C">
      <w:pPr>
        <w:adjustRightInd w:val="0"/>
        <w:snapToGrid w:val="0"/>
        <w:spacing w:line="560" w:lineRule="exact"/>
        <w:ind w:firstLine="640" w:firstLineChars="200"/>
        <w:rPr>
          <w:rFonts w:ascii="仿宋_GB2312"/>
          <w:kern w:val="0"/>
        </w:rPr>
      </w:pPr>
      <w:r>
        <w:rPr>
          <w:rFonts w:hint="eastAsia" w:ascii="楷体_GB2312" w:hAnsi="楷体_GB2312" w:eastAsia="楷体_GB2312" w:cs="楷体_GB2312"/>
          <w:kern w:val="0"/>
        </w:rPr>
        <w:t>（一）集中初审。</w:t>
      </w:r>
      <w:r>
        <w:rPr>
          <w:rFonts w:hint="eastAsia" w:ascii="仿宋_GB2312"/>
          <w:kern w:val="0"/>
        </w:rPr>
        <w:t>文化和旅游部组织评审委员会专家对申报城市的相关材料进行集中初审。评审专家依据评分导则和相关细化标准对申报城市的申报材料独立赋分，形成申报城市的初审得分。文化和旅游部依据各申报城市的初审得分，择优确定候选城市。</w:t>
      </w:r>
    </w:p>
    <w:p w14:paraId="24ABCFDD">
      <w:pPr>
        <w:widowControl/>
        <w:adjustRightInd w:val="0"/>
        <w:snapToGrid w:val="0"/>
        <w:spacing w:line="560" w:lineRule="exact"/>
        <w:ind w:firstLine="640" w:firstLineChars="200"/>
        <w:rPr>
          <w:rFonts w:ascii="仿宋_GB2312"/>
          <w:color w:val="FF0000"/>
          <w:kern w:val="0"/>
        </w:rPr>
      </w:pPr>
      <w:r>
        <w:rPr>
          <w:rFonts w:hint="eastAsia" w:ascii="楷体_GB2312" w:hAnsi="楷体_GB2312" w:eastAsia="楷体_GB2312" w:cs="楷体_GB2312"/>
          <w:kern w:val="0"/>
        </w:rPr>
        <w:t>（二）实地暗访。</w:t>
      </w:r>
      <w:r>
        <w:rPr>
          <w:rFonts w:hint="eastAsia" w:ascii="仿宋_GB2312"/>
          <w:kern w:val="0"/>
        </w:rPr>
        <w:t>文化和旅游部组织评审委员会专家对候选城市进行实地暗访。实地暗访结束后，专家组依据实地暗访评分细则，在协商一致的基础上提出评估意见，并对暗访城市赋分，形成候选城市的实地暗访得分和书面评估意见，提交文化和旅游部。</w:t>
      </w:r>
    </w:p>
    <w:p w14:paraId="0BF152BC">
      <w:pPr>
        <w:widowControl/>
        <w:adjustRightInd w:val="0"/>
        <w:snapToGrid w:val="0"/>
        <w:spacing w:line="560" w:lineRule="exact"/>
        <w:ind w:firstLine="640" w:firstLineChars="200"/>
        <w:rPr>
          <w:rFonts w:ascii="仿宋_GB2312"/>
          <w:color w:val="FF0000"/>
          <w:kern w:val="0"/>
        </w:rPr>
      </w:pPr>
      <w:r>
        <w:rPr>
          <w:rFonts w:hint="eastAsia" w:ascii="楷体_GB2312" w:hAnsi="楷体_GB2312" w:eastAsia="楷体_GB2312" w:cs="楷体_GB2312"/>
          <w:kern w:val="0"/>
        </w:rPr>
        <w:t>（三）终审答辩。</w:t>
      </w:r>
      <w:r>
        <w:rPr>
          <w:rFonts w:hint="eastAsia" w:ascii="仿宋_GB2312"/>
          <w:kern w:val="0"/>
        </w:rPr>
        <w:t>文化和旅游部组织评审委员会专家对候选城市进行终审答辩。候选城市阐述建设计划、保障措施和持续发展愿景，回答专家提问。评审专家依据评分导则和相关细化标准对候选城市的终审答辩赋分。</w:t>
      </w:r>
    </w:p>
    <w:p w14:paraId="0F314675">
      <w:pPr>
        <w:pStyle w:val="5"/>
        <w:widowControl/>
        <w:adjustRightInd w:val="0"/>
        <w:snapToGrid w:val="0"/>
        <w:spacing w:line="560" w:lineRule="exact"/>
        <w:ind w:firstLine="640" w:firstLineChars="200"/>
        <w:rPr>
          <w:rFonts w:ascii="仿宋_GB2312" w:hAnsi="Calibri" w:eastAsia="仿宋_GB2312"/>
          <w:color w:val="000000"/>
          <w:kern w:val="0"/>
          <w:sz w:val="32"/>
          <w:szCs w:val="32"/>
        </w:rPr>
      </w:pPr>
      <w:r>
        <w:rPr>
          <w:rFonts w:hint="eastAsia" w:ascii="仿宋_GB2312" w:hAnsi="Calibri" w:eastAsia="仿宋_GB2312"/>
          <w:color w:val="000000"/>
          <w:kern w:val="0"/>
          <w:sz w:val="32"/>
          <w:szCs w:val="32"/>
        </w:rPr>
        <w:t>评审委员会组织计算候选城市在集中初审、实地暗访和终审答辩三个阶段的得分情况，形成各候选城市的最终分项得分和加权平均总得分，由评审委员会在终审答辩现场宣布。</w:t>
      </w:r>
    </w:p>
    <w:p w14:paraId="26E7D753">
      <w:pPr>
        <w:pStyle w:val="5"/>
        <w:widowControl/>
        <w:adjustRightInd w:val="0"/>
        <w:snapToGrid w:val="0"/>
        <w:spacing w:line="560" w:lineRule="exact"/>
        <w:jc w:val="center"/>
        <w:rPr>
          <w:rFonts w:ascii="黑体" w:hAnsi="宋体" w:eastAsia="黑体"/>
          <w:kern w:val="0"/>
          <w:sz w:val="32"/>
          <w:szCs w:val="32"/>
        </w:rPr>
      </w:pPr>
      <w:r>
        <w:rPr>
          <w:rFonts w:hint="eastAsia" w:ascii="黑体" w:hAnsi="黑体" w:eastAsia="黑体"/>
          <w:kern w:val="0"/>
          <w:sz w:val="32"/>
          <w:szCs w:val="32"/>
        </w:rPr>
        <w:t>第四章</w:t>
      </w:r>
      <w:r>
        <w:rPr>
          <w:rFonts w:hint="eastAsia" w:ascii="黑体" w:hAnsi="宋体" w:eastAsia="黑体"/>
          <w:kern w:val="0"/>
          <w:sz w:val="32"/>
          <w:szCs w:val="32"/>
        </w:rPr>
        <w:t xml:space="preserve">  </w:t>
      </w:r>
      <w:r>
        <w:rPr>
          <w:rFonts w:hint="eastAsia" w:ascii="黑体" w:hAnsi="黑体" w:eastAsia="黑体"/>
          <w:kern w:val="0"/>
          <w:sz w:val="32"/>
          <w:szCs w:val="32"/>
        </w:rPr>
        <w:t>认</w:t>
      </w:r>
      <w:r>
        <w:rPr>
          <w:rFonts w:hint="eastAsia" w:ascii="黑体" w:hAnsi="宋体" w:eastAsia="黑体"/>
          <w:kern w:val="0"/>
          <w:sz w:val="32"/>
          <w:szCs w:val="32"/>
        </w:rPr>
        <w:t xml:space="preserve">  </w:t>
      </w:r>
      <w:r>
        <w:rPr>
          <w:rFonts w:hint="eastAsia" w:ascii="黑体" w:hAnsi="黑体" w:eastAsia="黑体"/>
          <w:kern w:val="0"/>
          <w:sz w:val="32"/>
          <w:szCs w:val="32"/>
        </w:rPr>
        <w:t>定</w:t>
      </w:r>
    </w:p>
    <w:p w14:paraId="329F3EBF">
      <w:pPr>
        <w:widowControl/>
        <w:adjustRightInd w:val="0"/>
        <w:snapToGrid w:val="0"/>
        <w:spacing w:line="560" w:lineRule="exact"/>
        <w:ind w:firstLine="640" w:firstLineChars="200"/>
        <w:rPr>
          <w:rFonts w:hint="eastAsia" w:ascii="仿宋_GB2312"/>
          <w:kern w:val="0"/>
        </w:rPr>
      </w:pPr>
      <w:r>
        <w:rPr>
          <w:rFonts w:hint="eastAsia" w:ascii="黑体" w:hAnsi="黑体" w:eastAsia="黑体"/>
          <w:kern w:val="0"/>
        </w:rPr>
        <w:t>第十一条</w:t>
      </w:r>
      <w:r>
        <w:rPr>
          <w:rFonts w:hint="eastAsia" w:ascii="黑体" w:hAnsi="仿宋_GB2312" w:eastAsia="黑体" w:cs="仿宋_GB2312"/>
          <w:kern w:val="0"/>
        </w:rPr>
        <w:t xml:space="preserve"> </w:t>
      </w:r>
      <w:r>
        <w:rPr>
          <w:rFonts w:hint="eastAsia" w:ascii="仿宋_GB2312"/>
          <w:kern w:val="0"/>
        </w:rPr>
        <w:t xml:space="preserve"> 报批。文化和旅游部国际交流与合作局根据评审委员会的评审意见及结果履行报部审批程序，确定2026年“东亚文化之都”当选城市。审批结果由文化和旅游部国际交流与合作局以书面方式通知当选城市人民政府。中日韩三国“东亚文化之都”当选城市在年度中日韩文化部长会议上对外宣布。</w:t>
      </w:r>
    </w:p>
    <w:p w14:paraId="3B7E5CB2">
      <w:pPr>
        <w:widowControl/>
        <w:adjustRightInd w:val="0"/>
        <w:snapToGrid w:val="0"/>
        <w:spacing w:line="560" w:lineRule="exact"/>
        <w:ind w:firstLine="640" w:firstLineChars="200"/>
        <w:rPr>
          <w:rFonts w:ascii="仿宋_GB2312"/>
        </w:rPr>
      </w:pPr>
      <w:r>
        <w:rPr>
          <w:rFonts w:hint="eastAsia" w:ascii="黑体" w:hAnsi="黑体" w:eastAsia="黑体"/>
          <w:kern w:val="0"/>
        </w:rPr>
        <w:t>第十二条</w:t>
      </w:r>
      <w:r>
        <w:rPr>
          <w:rFonts w:hint="eastAsia" w:ascii="黑体" w:hAnsi="仿宋_GB2312" w:eastAsia="黑体" w:cs="仿宋_GB2312"/>
          <w:kern w:val="0"/>
        </w:rPr>
        <w:t xml:space="preserve">  </w:t>
      </w:r>
      <w:r>
        <w:rPr>
          <w:rFonts w:hint="eastAsia" w:ascii="仿宋_GB2312" w:hAnsi="Calibri"/>
          <w:kern w:val="0"/>
          <w:lang w:val="en"/>
        </w:rPr>
        <w:t>2026年</w:t>
      </w:r>
      <w:r>
        <w:rPr>
          <w:rFonts w:hint="eastAsia" w:ascii="仿宋_GB2312" w:hAnsi="Calibri"/>
          <w:kern w:val="0"/>
        </w:rPr>
        <w:t>“</w:t>
      </w:r>
      <w:r>
        <w:rPr>
          <w:rFonts w:hint="eastAsia" w:ascii="仿宋_GB2312"/>
          <w:kern w:val="0"/>
        </w:rPr>
        <w:t>东亚文化之都”当选城市在活动年期间，以“东亚文化之都”名义开展形式多样的文化和旅游活动。2026年</w:t>
      </w:r>
      <w:r>
        <w:rPr>
          <w:rFonts w:hint="eastAsia" w:ascii="仿宋_GB2312"/>
        </w:rPr>
        <w:t>“</w:t>
      </w:r>
      <w:r>
        <w:rPr>
          <w:rFonts w:hint="eastAsia" w:ascii="仿宋_GB2312"/>
          <w:kern w:val="0"/>
        </w:rPr>
        <w:t>东亚</w:t>
      </w:r>
      <w:r>
        <w:rPr>
          <w:rFonts w:hint="eastAsia" w:ascii="仿宋_GB2312"/>
        </w:rPr>
        <w:t>文</w:t>
      </w:r>
      <w:r>
        <w:rPr>
          <w:rFonts w:hint="eastAsia" w:ascii="仿宋_GB2312"/>
          <w:kern w:val="0"/>
        </w:rPr>
        <w:t>化之</w:t>
      </w:r>
      <w:r>
        <w:rPr>
          <w:rFonts w:hint="eastAsia" w:ascii="仿宋_GB2312"/>
        </w:rPr>
        <w:t>都”当选城市参与中国“东亚文化之都”工作机制框架下的相关活动，优先参与国家级对外文化和旅游交流活动，优先参与国家入境旅游市场开发、海外旅游推广重点项目，优先参与国际交流与合作局重点品牌项目，优先参与中外文化和旅游年重点项目。</w:t>
      </w:r>
    </w:p>
    <w:p w14:paraId="5AAC0B7A">
      <w:pPr>
        <w:spacing w:line="560" w:lineRule="exact"/>
        <w:rPr>
          <w:rFonts w:hint="eastAsia" w:hAnsi="宋体"/>
          <w:kern w:val="0"/>
          <w:sz w:val="28"/>
          <w:szCs w:val="28"/>
        </w:rPr>
      </w:pPr>
      <w:r>
        <w:rPr>
          <w:rFonts w:hint="eastAsia" w:ascii="黑体" w:hAnsi="黑体" w:eastAsia="黑体"/>
        </w:rPr>
        <w:t xml:space="preserve">    第十三条</w:t>
      </w:r>
      <w:r>
        <w:rPr>
          <w:rFonts w:hint="eastAsia" w:ascii="仿宋_GB2312"/>
        </w:rPr>
        <w:t xml:space="preserve">  未当选的候选城市，根据文化和旅游部反馈的专家评审意见积极加强建设，</w:t>
      </w:r>
      <w:r>
        <w:rPr>
          <w:rFonts w:hint="eastAsia" w:ascii="仿宋_GB2312"/>
          <w:kern w:val="0"/>
        </w:rPr>
        <w:t>如下一年次继续申报，在同等条件下优先当选。</w:t>
      </w:r>
    </w:p>
    <w:p w14:paraId="7F6CF208">
      <w:pPr>
        <w:pStyle w:val="5"/>
        <w:widowControl/>
        <w:adjustRightInd w:val="0"/>
        <w:snapToGrid w:val="0"/>
        <w:spacing w:line="560" w:lineRule="exact"/>
        <w:jc w:val="center"/>
        <w:rPr>
          <w:rFonts w:ascii="黑体" w:hAnsi="宋体" w:eastAsia="黑体"/>
          <w:kern w:val="0"/>
          <w:sz w:val="32"/>
          <w:szCs w:val="32"/>
        </w:rPr>
      </w:pPr>
      <w:r>
        <w:rPr>
          <w:rFonts w:hint="eastAsia" w:ascii="黑体" w:hAnsi="黑体" w:eastAsia="黑体"/>
          <w:kern w:val="0"/>
          <w:sz w:val="32"/>
          <w:szCs w:val="32"/>
        </w:rPr>
        <w:t>第五章</w:t>
      </w:r>
      <w:r>
        <w:rPr>
          <w:rFonts w:hint="eastAsia" w:ascii="黑体" w:hAnsi="宋体" w:eastAsia="黑体"/>
          <w:kern w:val="0"/>
          <w:sz w:val="32"/>
          <w:szCs w:val="32"/>
        </w:rPr>
        <w:t xml:space="preserve">  </w:t>
      </w:r>
      <w:r>
        <w:rPr>
          <w:rFonts w:hint="eastAsia" w:ascii="黑体" w:hAnsi="黑体" w:eastAsia="黑体"/>
          <w:kern w:val="0"/>
          <w:sz w:val="32"/>
          <w:szCs w:val="32"/>
        </w:rPr>
        <w:t>监测管理</w:t>
      </w:r>
    </w:p>
    <w:p w14:paraId="4298567A">
      <w:pPr>
        <w:spacing w:line="560" w:lineRule="exact"/>
        <w:ind w:firstLine="640" w:firstLineChars="200"/>
        <w:rPr>
          <w:rFonts w:ascii="仿宋_GB2312"/>
          <w:kern w:val="0"/>
        </w:rPr>
      </w:pPr>
      <w:r>
        <w:rPr>
          <w:rFonts w:hint="eastAsia" w:ascii="黑体" w:hAnsi="黑体" w:eastAsia="黑体"/>
          <w:kern w:val="0"/>
        </w:rPr>
        <w:t>第十四条</w:t>
      </w:r>
      <w:r>
        <w:rPr>
          <w:rFonts w:hint="eastAsia" w:ascii="黑体" w:hAnsi="仿宋_GB2312" w:eastAsia="黑体" w:cs="仿宋_GB2312"/>
          <w:kern w:val="0"/>
        </w:rPr>
        <w:t xml:space="preserve"> </w:t>
      </w:r>
      <w:r>
        <w:rPr>
          <w:rFonts w:hint="eastAsia" w:ascii="仿宋_GB2312"/>
          <w:kern w:val="0"/>
        </w:rPr>
        <w:t xml:space="preserve"> 文化和旅游部统筹“东亚文化之都”的监测与复核工作。建立常态化的“东亚文化之都”城市创新发展监测、公布与动态管理机制。在实施常态化监测的基础上，每3年组织专家以抽查的方式对“东亚文化之都”城市进行创新发展复核工作，每一轮次抽查面不少于“东亚文化之都”城市的三分之一。</w:t>
      </w:r>
    </w:p>
    <w:p w14:paraId="04EEAC98">
      <w:pPr>
        <w:spacing w:line="560" w:lineRule="exact"/>
        <w:ind w:firstLine="640" w:firstLineChars="200"/>
        <w:rPr>
          <w:rFonts w:ascii="仿宋_GB2312"/>
          <w:kern w:val="0"/>
        </w:rPr>
      </w:pPr>
      <w:r>
        <w:rPr>
          <w:rFonts w:hint="eastAsia" w:ascii="仿宋_GB2312"/>
          <w:kern w:val="0"/>
        </w:rPr>
        <w:t>省、自治区、直辖市及新疆生产建设兵团文化和旅游行政部门对辖区内的“东亚文化之都”进行日常检查和发展评估，并参与文化和旅游部的复核工作。</w:t>
      </w:r>
    </w:p>
    <w:p w14:paraId="25D70EE7">
      <w:pPr>
        <w:spacing w:line="560" w:lineRule="exact"/>
        <w:ind w:firstLine="640" w:firstLineChars="200"/>
        <w:rPr>
          <w:rFonts w:hint="eastAsia" w:ascii="仿宋_GB2312"/>
          <w:kern w:val="0"/>
        </w:rPr>
      </w:pPr>
      <w:r>
        <w:rPr>
          <w:rFonts w:hint="eastAsia" w:ascii="仿宋_GB2312"/>
          <w:kern w:val="0"/>
        </w:rPr>
        <w:t>“东亚文化之都”城市出现常态化监测严重不达标情况，对其即时启动复核程序。</w:t>
      </w:r>
    </w:p>
    <w:p w14:paraId="1FE1B9C3">
      <w:pPr>
        <w:widowControl/>
        <w:adjustRightInd w:val="0"/>
        <w:snapToGrid w:val="0"/>
        <w:spacing w:line="560" w:lineRule="exact"/>
        <w:ind w:firstLine="640" w:firstLineChars="200"/>
        <w:rPr>
          <w:rFonts w:hint="eastAsia" w:ascii="仿宋_GB2312"/>
          <w:kern w:val="0"/>
        </w:rPr>
      </w:pPr>
      <w:r>
        <w:rPr>
          <w:rFonts w:hint="eastAsia" w:ascii="黑体" w:hAnsi="黑体" w:eastAsia="黑体"/>
          <w:kern w:val="0"/>
        </w:rPr>
        <w:t>第十五条</w:t>
      </w:r>
      <w:r>
        <w:rPr>
          <w:rFonts w:hint="eastAsia" w:ascii="仿宋_GB2312"/>
          <w:kern w:val="0"/>
        </w:rPr>
        <w:t xml:space="preserve"> “东亚文化之都”当选城市使用统一的城市标识和形象口号，充分利用媒体矩阵开展宣传报道。</w:t>
      </w:r>
    </w:p>
    <w:p w14:paraId="2ABFF8ED">
      <w:pPr>
        <w:adjustRightInd w:val="0"/>
        <w:snapToGrid w:val="0"/>
        <w:spacing w:line="560" w:lineRule="exact"/>
        <w:ind w:firstLine="640" w:firstLineChars="200"/>
        <w:rPr>
          <w:rFonts w:ascii="仿宋_GB2312"/>
          <w:kern w:val="0"/>
        </w:rPr>
      </w:pPr>
      <w:r>
        <w:rPr>
          <w:rFonts w:hint="eastAsia" w:ascii="黑体" w:hAnsi="黑体" w:eastAsia="黑体"/>
          <w:kern w:val="0"/>
        </w:rPr>
        <w:t>第十六条</w:t>
      </w:r>
      <w:r>
        <w:rPr>
          <w:rFonts w:hint="eastAsia" w:ascii="仿宋_GB2312"/>
          <w:kern w:val="0"/>
        </w:rPr>
        <w:t xml:space="preserve">  “东亚文化之都”城市</w:t>
      </w:r>
      <w:r>
        <w:rPr>
          <w:rFonts w:hint="eastAsia" w:ascii="仿宋_GB2312"/>
        </w:rPr>
        <w:t>复核不合格或发生重大文化或旅游违规违法案件、</w:t>
      </w:r>
      <w:r>
        <w:rPr>
          <w:rFonts w:hint="eastAsia" w:ascii="仿宋_GB2312"/>
          <w:kern w:val="0"/>
        </w:rPr>
        <w:t>重大文物违法案件和安全责任事故</w:t>
      </w:r>
      <w:r>
        <w:rPr>
          <w:rFonts w:hint="eastAsia" w:ascii="仿宋_GB2312"/>
        </w:rPr>
        <w:t>、重大文化或旅游安全事故、严重损害消费者权益事件、因相关问题受到中央和国家机关部委通报批评、严重破坏生态环境行为和严重负面舆论事件</w:t>
      </w:r>
      <w:r>
        <w:rPr>
          <w:rFonts w:hint="eastAsia" w:ascii="仿宋_GB2312"/>
          <w:kern w:val="0"/>
        </w:rPr>
        <w:t>，将视问题的严重程度，予以通报提醒、严重警告并限期整改，经整改仍不合格的撤销命名。</w:t>
      </w:r>
    </w:p>
    <w:p w14:paraId="6A9BB6A6">
      <w:pPr>
        <w:widowControl/>
        <w:adjustRightInd w:val="0"/>
        <w:snapToGrid w:val="0"/>
        <w:spacing w:line="560" w:lineRule="exact"/>
        <w:jc w:val="center"/>
        <w:rPr>
          <w:rFonts w:ascii="黑体" w:hAnsi="宋体" w:eastAsia="黑体"/>
          <w:kern w:val="0"/>
        </w:rPr>
      </w:pPr>
      <w:r>
        <w:rPr>
          <w:rFonts w:hint="eastAsia" w:ascii="黑体" w:hAnsi="黑体" w:eastAsia="黑体"/>
          <w:kern w:val="0"/>
        </w:rPr>
        <w:t>第六章</w:t>
      </w:r>
      <w:r>
        <w:rPr>
          <w:rFonts w:hint="eastAsia" w:ascii="黑体" w:hAnsi="宋体" w:eastAsia="黑体"/>
          <w:kern w:val="0"/>
        </w:rPr>
        <w:t xml:space="preserve">  </w:t>
      </w:r>
      <w:r>
        <w:rPr>
          <w:rFonts w:hint="eastAsia" w:ascii="黑体" w:hAnsi="黑体" w:eastAsia="黑体"/>
          <w:kern w:val="0"/>
        </w:rPr>
        <w:t>附</w:t>
      </w:r>
      <w:r>
        <w:rPr>
          <w:rFonts w:hint="eastAsia" w:ascii="黑体" w:hAnsi="宋体" w:eastAsia="黑体"/>
          <w:kern w:val="0"/>
        </w:rPr>
        <w:t xml:space="preserve">  </w:t>
      </w:r>
      <w:r>
        <w:rPr>
          <w:rFonts w:hint="eastAsia" w:ascii="黑体" w:hAnsi="黑体" w:eastAsia="黑体"/>
          <w:kern w:val="0"/>
        </w:rPr>
        <w:t>则</w:t>
      </w:r>
    </w:p>
    <w:p w14:paraId="44705DAC">
      <w:pPr>
        <w:widowControl/>
        <w:adjustRightInd w:val="0"/>
        <w:snapToGrid w:val="0"/>
        <w:spacing w:line="560" w:lineRule="exact"/>
        <w:ind w:firstLine="640" w:firstLineChars="200"/>
        <w:rPr>
          <w:rFonts w:ascii="仿宋_GB2312"/>
          <w:kern w:val="0"/>
        </w:rPr>
      </w:pPr>
      <w:r>
        <w:rPr>
          <w:rFonts w:hint="eastAsia" w:ascii="黑体" w:hAnsi="黑体" w:eastAsia="黑体"/>
          <w:kern w:val="0"/>
        </w:rPr>
        <w:t>第十七条</w:t>
      </w:r>
      <w:r>
        <w:rPr>
          <w:rFonts w:hint="eastAsia" w:ascii="仿宋_GB2312"/>
          <w:kern w:val="0"/>
        </w:rPr>
        <w:t xml:space="preserve">  本办法由文化和旅游部负责解释。各省、自治区、直辖市及新疆生产建设兵团制定符合本地实际的“东亚文化之都”工作管理相关规定。</w:t>
      </w:r>
    </w:p>
    <w:p w14:paraId="6B92194A">
      <w:pPr>
        <w:widowControl/>
        <w:adjustRightInd w:val="0"/>
        <w:snapToGrid w:val="0"/>
        <w:spacing w:line="560" w:lineRule="exact"/>
        <w:ind w:firstLine="640" w:firstLineChars="200"/>
        <w:rPr>
          <w:b/>
          <w:bCs/>
          <w:sz w:val="28"/>
          <w:szCs w:val="28"/>
        </w:rPr>
      </w:pPr>
      <w:r>
        <w:rPr>
          <w:rFonts w:hint="eastAsia" w:ascii="黑体" w:hAnsi="黑体" w:eastAsia="黑体"/>
          <w:kern w:val="0"/>
        </w:rPr>
        <w:t>第十八条</w:t>
      </w:r>
      <w:r>
        <w:rPr>
          <w:rFonts w:hint="eastAsia" w:ascii="黑体" w:hAnsi="仿宋_GB2312" w:eastAsia="黑体" w:cs="仿宋_GB2312"/>
          <w:kern w:val="0"/>
        </w:rPr>
        <w:t xml:space="preserve"> </w:t>
      </w:r>
      <w:r>
        <w:rPr>
          <w:rFonts w:hint="eastAsia" w:ascii="仿宋_GB2312"/>
          <w:kern w:val="0"/>
        </w:rPr>
        <w:t xml:space="preserve"> 本办法自发布之日起施行。</w:t>
      </w:r>
    </w:p>
    <w:p w14:paraId="129AFB50">
      <w:pPr>
        <w:pStyle w:val="6"/>
        <w:autoSpaceDE w:val="0"/>
        <w:adjustRightInd w:val="0"/>
        <w:snapToGrid w:val="0"/>
        <w:spacing w:before="0" w:beforeAutospacing="0" w:after="0" w:line="560" w:lineRule="exact"/>
        <w:ind w:firstLine="0" w:firstLineChars="0"/>
        <w:rPr>
          <w:rFonts w:hint="eastAsia" w:ascii="仿宋_GB2312" w:eastAsia="仿宋_GB2312"/>
        </w:rPr>
      </w:pPr>
    </w:p>
    <w:p w14:paraId="79C7C07B">
      <w:pPr>
        <w:pStyle w:val="6"/>
        <w:autoSpaceDE w:val="0"/>
        <w:adjustRightInd w:val="0"/>
        <w:snapToGrid w:val="0"/>
        <w:spacing w:before="0" w:beforeAutospacing="0" w:after="0" w:line="560" w:lineRule="exact"/>
        <w:ind w:firstLine="0" w:firstLineChars="0"/>
        <w:rPr>
          <w:rFonts w:hint="eastAsia" w:ascii="仿宋_GB2312" w:eastAsia="仿宋_GB2312"/>
        </w:rPr>
      </w:pPr>
    </w:p>
    <w:p w14:paraId="1CD656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96B03"/>
    <w:multiLevelType w:val="multilevel"/>
    <w:tmpl w:val="18396B03"/>
    <w:lvl w:ilvl="0" w:tentative="0">
      <w:start w:val="1"/>
      <w:numFmt w:val="japaneseCounting"/>
      <w:lvlText w:val="第%1章"/>
      <w:lvlJc w:val="left"/>
      <w:pPr>
        <w:ind w:left="1280" w:hanging="12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jE5ZTAxMzEwZGE3MDE1MjM4M2NkMGJhZTQxNmMifQ=="/>
  </w:docVars>
  <w:rsids>
    <w:rsidRoot w:val="5CC84E2A"/>
    <w:rsid w:val="5CC84E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Plain Text1"/>
    <w:basedOn w:val="1"/>
    <w:qFormat/>
    <w:uiPriority w:val="0"/>
    <w:rPr>
      <w:rFonts w:ascii="宋体" w:hAnsi="Courier New" w:eastAsia="宋体"/>
      <w:sz w:val="21"/>
      <w:szCs w:val="21"/>
    </w:rPr>
  </w:style>
  <w:style w:type="paragraph" w:customStyle="1" w:styleId="6">
    <w:name w:val="正文首行缩进1"/>
    <w:basedOn w:val="2"/>
    <w:qFormat/>
    <w:uiPriority w:val="0"/>
    <w:pPr>
      <w:spacing w:before="100" w:beforeAutospacing="1"/>
      <w:ind w:firstLine="420" w:firstLineChars="100"/>
    </w:pPr>
    <w:rPr>
      <w:rFonts w:ascii="Calibri" w:hAnsi="Calibri"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2024-09-05T04:23:00Z</dcterms:created>
  <dc:creator>赖。</dc:creator>
  <cp:lastModifiedBy>赖。</cp:lastModifiedBy>
  <dcterms:modified xsi:type="dcterms:W3CDTF">2024-09-05T04:24:06Z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DF9731420F3B478080CF28262E65BC51_11</vt:lpwstr>
  </property>
</Properties>
</file>