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2022年文化和旅游志愿服务典型案例名单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一、公共文化设施学雷锋志愿服务典型案例（10个）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喜迎二十大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党史宣讲 志愿同行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赤峰市图书馆学雷锋志愿服务站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长春市图书馆“义务小馆员”志愿服务项目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人人共享 近悦远来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上博志愿服务赋能高品质生活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“青阅计划”志愿服务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光影中的“家”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科普志愿服务走向世界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黄山自然讲堂志愿服务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广州图书馆“专家志愿者咨询服务”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“578我去帮”志愿服务活动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馆语计划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活化中小博物馆助力县乡儿童教育志愿服务行动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二、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Hans" w:bidi="ar"/>
        </w:rPr>
        <w:t>特殊群体关爱志愿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服务典型案例（10个）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文化让生活更美好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“小时候您教我用筷子，长大后我教您用手机”智慧助老文化志愿服务项目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凡人星光 聚微成炬 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石家庄市图书馆“星星河”少儿志愿服务案例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山西省图书馆“我是你的眼”文化助盲志愿服务项目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“圆梦青苗·以艺育美”浙江省乡村未成年人“美育课堂”志愿服务项目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“护苗·筑梦” 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铜陵市图书馆“小小管理员”文化志愿者项目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江西省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青鸟课堂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“追梦”文化助残志愿服务项目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术疗愈，病房花开：肿瘤病童艺术课堂项目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“文旅蓉光”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成都文旅志愿服务关爱残疾人系列活动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西部民族地区青少年文化培育与成长关怀志愿服务“童享计划”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三、社会力量参与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Hans" w:bidi="ar"/>
        </w:rPr>
        <w:t>志愿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服务典型案例（10个）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北京2022年冬奥会、冬残奥会公共文化机构文化志愿者城市志愿服务项目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“幸福秦皇岛”全民艺术普及项目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上海市公共文化机构设施日常巡查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苏州市吴江区建设县域文化类社会组织志愿服务平台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浙江省美育村志愿者服务项目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“青文驿”青年文化服务驿站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以“张富清先锋队”志愿服务提升来凤县公共文化服务体系建设水平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“旅游医生”志愿服务项目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繁星行动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广州市文旅志愿服务特色项目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中国古籍保护协会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社会力量参与云南傣文古籍保护志愿服务行动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四、边疆民族地区志愿服务典型案例（5个）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首都图书馆“京和书香”文化援建志愿服务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内蒙古博物院“博物弘文·守望相助”志愿服务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柳州市“火塘计划”点亮乡村文化之光 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“文化特派员”志愿服务乡村振兴案例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兵团文化馆“沙枣花”文化和旅游志愿服务项目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中国艺术研究院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2022年中国艺术研究院“春雨工程”大讲堂走进文山壮族苗族自治州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五、旅游志愿服务典型案例（5个）</w:t>
      </w:r>
    </w:p>
    <w:tbl>
      <w:tblPr>
        <w:tblStyle w:val="3"/>
        <w:tblpPr w:leftFromText="180" w:rightFromText="180" w:vertAnchor="text" w:horzAnchor="page" w:tblpX="1653" w:tblpY="357"/>
        <w:tblOverlap w:val="never"/>
        <w:tblW w:w="90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5"/>
        <w:gridCol w:w="5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洪洞县孝亲敬茶志愿服务项目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黄浦区旅游公共服务中心志愿者服务团队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“美丽杭州行 助力亚运会”金牌导游志愿服务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“保护传承非遗 助力全域旅游”志愿服务项目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“三聚焦三融合”打造高校文旅服务新高地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六、“互联网+志愿服务”典型案例（5个）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冀图“线上共读经典”文化志愿服务项目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“0分贝阅读”志愿服务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南山博物馆新媒体创新志愿服务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“码尚到”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文化和旅游部全国公共文化发展中心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培育“乡村网红”新型文化志愿者助力乡村振兴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七、其他典型案例（5个）</w:t>
      </w:r>
    </w:p>
    <w:tbl>
      <w:tblPr>
        <w:tblStyle w:val="3"/>
        <w:tblpPr w:leftFromText="180" w:rightFromText="180" w:vertAnchor="text" w:horzAnchor="page" w:tblpX="1567" w:tblpY="323"/>
        <w:tblOverlap w:val="never"/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57"/>
        <w:gridCol w:w="5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推报省份/单位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6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“我用我心讲党史”红色宣讲项目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“海声群诵”古诗词吟诵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“湘阅一生 助您上网”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让好日子放在歌里过 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柳州三江侗族大歌免费培训志愿服务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“文化润心”志愿服务</w:t>
            </w:r>
            <w:r>
              <w:rPr>
                <w:rFonts w:hint="eastAsia" w:ascii="仿宋_GB2312" w:hAnsi="仿宋_GB2312" w:eastAsia="黑体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银川市广场民族健身舞创作与推广工程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439F7"/>
    <w:rsid w:val="18B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2023-01-11T06:56:00Z</dcterms:created>
  <dc:creator>MSW</dc:creator>
  <cp:lastModifiedBy>MSW</cp:lastModifiedBy>
  <dcterms:modified xsi:type="dcterms:W3CDTF">2023-01-11T06:57:06Z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