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afterLines="0" w:line="640" w:lineRule="exact"/>
        <w:ind w:left="0" w:leftChars="0" w:right="0" w:rightChars="0" w:firstLine="36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2021年智慧旅游典型案例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一、智慧旅游景区、度假区、乡村建设运营典型案例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1.故宫博物院“智慧开放”项目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2.唐山市南湖·开滦旅游景区智慧旅游探索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3.大连市发现王国“智慧潮玩”新模式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4.南京市牛首山文化旅游区智慧旅游系统建设应用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5.南平市武夷山景区智慧管理提升服务效能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6.青岛市崂山景区全网分时预约售检票系统智慧化实践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7.重庆市中国三峡博物馆智慧管理平台建设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安顺市黄果树景区动静结合的智慧化客流管理服务体系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9.丽江市丽江古城“智慧小镇”数字化转型实践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10.渭南市华山景区实名制分时预约实践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11.智慧之翼，助力石嘴山市沙湖景区实现高质量发展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12.昌吉回族自治州天山天池景区打造智慧旅游服务引擎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13.日照市山海天旅游度假区智慧共享优质发展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14.“南京市乡村旅游大数据服务平台”智慧旅游实践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15.贵阳市水东乡舍“互联网+乡村旅居”助力乡村振兴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二、智慧旅游公共服务平台建设运营典型案例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1.延庆区打造“长城内外”全域旅游数字化生活新服务平台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2.黑河市智慧旅游服务平台一站式无障碍服务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“君到苏州”文化旅游总入口平台提升文旅综合服务效能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4.杭州市智慧文旅服务平台打造文旅生活服务圈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306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5.“易游温州”一键通智慧服务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306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6.黄山市打造目的地智慧旅游运营新样板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306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val="en-US" w:eastAsia="zh-CN"/>
        </w:rPr>
        <w:t>7.六安市文旅综合服务管理系统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8.基于大数据的“烟台文旅云”平台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9.宜昌市智慧旅游“精准推荐”助力旅游消费转型升级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10.“乐游南宁”APP及微信小程序智慧化服务创新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11.乐山市文旅大数据中心数字文旅发展模式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12.“游汉中”平台促进智慧旅游服务升级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795"/>
      </w:tabs>
      <w:adjustRightInd/>
      <w:spacing w:after="120" w:line="640" w:lineRule="exact"/>
      <w:ind w:firstLine="420" w:firstLineChars="100"/>
      <w:jc w:val="both"/>
      <w:textAlignment w:val="auto"/>
    </w:pPr>
    <w:rPr>
      <w:rFonts w:hint="eastAsia"/>
      <w:sz w:val="21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2022-01-14T08:41:54Z</dcterms:created>
  <dc:creator>LL</dc:creator>
  <cp:lastModifiedBy>LL</cp:lastModifiedBy>
  <dcterms:modified xsi:type="dcterms:W3CDTF">2022-01-14T08:42:11Z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