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CF" w:rsidRDefault="004A2DCF" w:rsidP="004A2DCF">
      <w:pPr>
        <w:autoSpaceDE w:val="0"/>
        <w:autoSpaceDN w:val="0"/>
        <w:jc w:val="center"/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t>2019年第一季度全国星级饭店统计报告</w:t>
      </w:r>
    </w:p>
    <w:bookmarkEnd w:id="0"/>
    <w:p w:rsidR="004A2DCF" w:rsidRDefault="004A2DCF" w:rsidP="004A2DCF">
      <w:pPr>
        <w:autoSpaceDE w:val="0"/>
        <w:autoSpaceDN w:val="0"/>
        <w:spacing w:line="360" w:lineRule="exac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年第一季度，全国星级饭店统计管理系统中共有星级饭店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10319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完成填报的为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9682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家，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填报率为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93.83%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个省、自治区、直辖市及新疆生产建设兵团：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个填报率超过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天津、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内蒙古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吉林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黑龙江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上海、江苏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个省份的填报率达到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个重点旅游城市：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个城市填报率超过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天津、秦皇岛、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呼和浩特、沈阳、长春、哈尔滨、上海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无锡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个城市的填报率达到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拉萨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填报率最低，为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36.07%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numPr>
          <w:ilvl w:val="0"/>
          <w:numId w:val="3"/>
        </w:numPr>
        <w:autoSpaceDE w:val="0"/>
        <w:autoSpaceDN w:val="0"/>
        <w:spacing w:line="360" w:lineRule="auto"/>
        <w:ind w:firstLineChars="200" w:firstLine="643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t>总体情况</w:t>
      </w:r>
    </w:p>
    <w:p w:rsidR="004A2DCF" w:rsidRDefault="004A2DCF" w:rsidP="004A2DCF">
      <w:pPr>
        <w:autoSpaceDE w:val="0"/>
        <w:autoSpaceDN w:val="0"/>
        <w:spacing w:line="360" w:lineRule="auto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 xml:space="preserve">   </w:t>
      </w:r>
      <w:r>
        <w:rPr>
          <w:rFonts w:ascii="Times New Roman" w:eastAsia="楷体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（一）星级规模和结构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年第一季度，共有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8561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家星级饭店通过省级文化和旅游行政部门审核，其中包括一星级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家，二星级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1351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家，三星级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4078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家，四星级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2281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家，五星级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799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家。</w:t>
      </w:r>
    </w:p>
    <w:p w:rsidR="004A2DCF" w:rsidRDefault="004A2DCF" w:rsidP="004A2DCF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Cs w:val="22"/>
        </w:rPr>
        <w:lastRenderedPageBreak/>
        <w:drawing>
          <wp:inline distT="0" distB="0" distL="0" distR="0">
            <wp:extent cx="4490085" cy="337058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（二）经营情况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8561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家星级饭店第一季度的营业收入合计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434.71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亿元，其中餐饮收入为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190.71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43.87%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；客房收入为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182.75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42.04%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 w:hint="eastAsia"/>
          <w:color w:val="000000"/>
          <w:szCs w:val="22"/>
          <w:lang w:val="en-US" w:eastAsia="zh-CN"/>
        </w:rPr>
      </w:pPr>
      <w:r>
        <w:rPr>
          <w:rFonts w:ascii="Times New Roman" w:hAnsi="Times New Roman" w:cs="Times New Roman"/>
          <w:noProof/>
          <w:color w:val="000000"/>
          <w:szCs w:val="22"/>
        </w:rPr>
        <w:drawing>
          <wp:inline distT="0" distB="0" distL="0" distR="0">
            <wp:extent cx="4935220" cy="320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CF" w:rsidRDefault="004A2DCF" w:rsidP="004A2DCF">
      <w:pPr>
        <w:autoSpaceDE w:val="0"/>
        <w:autoSpaceDN w:val="0"/>
        <w:spacing w:line="360" w:lineRule="auto"/>
        <w:jc w:val="center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lastRenderedPageBreak/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年第一季度全国星级饭店经营情况统计表</w:t>
      </w:r>
    </w:p>
    <w:p w:rsidR="004A2DCF" w:rsidRDefault="004A2DCF" w:rsidP="004A2DCF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（按星级分）</w:t>
      </w:r>
    </w:p>
    <w:p w:rsidR="004A2DCF" w:rsidRDefault="004A2DCF" w:rsidP="004A2DCF">
      <w:pPr>
        <w:spacing w:line="240" w:lineRule="exact"/>
        <w:jc w:val="center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0"/>
        <w:gridCol w:w="1807"/>
        <w:gridCol w:w="1807"/>
        <w:gridCol w:w="1807"/>
        <w:gridCol w:w="1808"/>
      </w:tblGrid>
      <w:tr w:rsidR="004A2DCF" w:rsidTr="00741A1F">
        <w:trPr>
          <w:trHeight w:val="720"/>
          <w:jc w:val="center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ind w:firstLineChars="200" w:firstLine="482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-4445</wp:posOffset>
                      </wp:positionV>
                      <wp:extent cx="791845" cy="448945"/>
                      <wp:effectExtent l="5080" t="13970" r="12700" b="13335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57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" o:spid="_x0000_s1026" type="#_x0000_t32" style="position:absolute;left:0;text-align:left;margin-left:-5.9pt;margin-top:-.35pt;width:62.3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HMwgIAAI8FAAAOAAAAZHJzL2Uyb0RvYy54bWysVM2O0zAQviPxDpbv2SRt2qbRpqvdNOXC&#10;z0q7iLObOD8isSPbbVohXoEXQOIEnIDT3nkaWB6DsZNm6XJBaFspGv/MN9/MfOPTs11doS0VsuQs&#10;xO6JgxFlCU9Llof45fXK8jGSirCUVJzREO+pxGeLx49O2yagI17wKqUCAQiTQduEuFCqCWxbJgWt&#10;iTzhDWVwmHFREwVLkdupIC2g15U9cpyp3XKRNoInVErYXXaHeGHws4wm6kWWSapQFWLgpsxXmO9a&#10;f+3FKQlyQZqiTHoa5D9Y1KRkEHSAWhJF0EaUf0HVZSK45Jk6SXht8ywrE2pygGxc5142VwVpqMkF&#10;iiOboUzy4WCT59tLgco0xBOMGKmhRbfvb36++3T77euPjze/vn/Q9pfPaKJL1TYyAI+IXQqdbLJj&#10;V81TnryWiPGoICynhvL1vgEcV3vYRy56IRsIuG6f8RTukI3ipm67TNQaEiqCdqY9+6E9dKdQApuz&#10;uet7QDOBI8/z52DrCCQ4ODdCqieU10gbIZZKkDIvVMQZAyFw4ZpQZPtUqs7x4KAjM74qqwr2SVAx&#10;1IZ4PhnpYHUDxZEsN76SV2Wq7+lrUuTrqBJoS7S4zK8ndHRN8A1LDW5BSRr3tiJl1dmQQMU0HjV6&#10;7cjBaqfANPuQv9HSm7kzj/3Y9yxvNI0tz1kurfNV5FnTlTubLMfLKFq6bzVR1wuKMk0p01wPuna9&#10;f9NNP2GdIgdlD/Wxj9FNB4DsMdPz1cSZeWPfms0mY8sbx4514a8i6zxyp9NZfBFdxPeYxiZ7+TBk&#10;h1JqVnyjqLgq0halpdbFeDIfuRgW8A6MZl3fEKlyeMASJTASXL0qVWGkrEWoMY567Tv63/d6QO8K&#10;ceihXg1d6HO7KxX0/NBfMyF6KLrxWvN0fym0PPWwwNQbp/6F0s/Kn2tz6+4dXfwGAAD//wMAUEsD&#10;BBQABgAIAAAAIQCftwfi3QAAAAgBAAAPAAAAZHJzL2Rvd25yZXYueG1sTI/BTsMwEETvSPyDtUhc&#10;UGs7EpSGbKoKiQNH2kq9uvGSBOJ1FDtN6NfjnuC2oxnNvC02s+vEmYbQekbQSwWCuPK25RrhsH9b&#10;PIMI0bA1nWdC+KEAm/L2pjC59RN/0HkXa5FKOOQGoYmxz6UMVUPOhKXviZP36QdnYpJDLe1gplTu&#10;Opkp9SSdaTktNKan14aq793oECiMj1pt164+vF+mh2N2+Zr6PeL93bx9ARFpjn9huOIndCgT08mP&#10;bIPoEBZaJ/SYjhWIq6+zNYgTwkopkGUh/z9Q/gIAAP//AwBQSwECLQAUAAYACAAAACEAtoM4kv4A&#10;AADhAQAAEwAAAAAAAAAAAAAAAAAAAAAAW0NvbnRlbnRfVHlwZXNdLnhtbFBLAQItABQABgAIAAAA&#10;IQA4/SH/1gAAAJQBAAALAAAAAAAAAAAAAAAAAC8BAABfcmVscy8ucmVsc1BLAQItABQABgAIAAAA&#10;IQCHvOHMwgIAAI8FAAAOAAAAAAAAAAAAAAAAAC4CAABkcnMvZTJvRG9jLnhtbFBLAQItABQABgAI&#10;AAAAIQCftwfi3QAAAAgBAAAPAAAAAAAAAAAAAAAAABwFAABkcnMvZG93bnJldi54bWxQSwUGAAAA&#10;AAQABADzAAAAJgYAAAAA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星级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数量（家）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营业收入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餐饮收入比重</w:t>
            </w:r>
          </w:p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客房收入比重</w:t>
            </w:r>
          </w:p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8561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434.71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43.87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42.04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一星级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807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0.17</w:t>
            </w:r>
          </w:p>
        </w:tc>
        <w:tc>
          <w:tcPr>
            <w:tcW w:w="1807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61.19</w:t>
            </w:r>
          </w:p>
        </w:tc>
        <w:tc>
          <w:tcPr>
            <w:tcW w:w="1808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36.12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二星级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1351</w:t>
            </w:r>
          </w:p>
        </w:tc>
        <w:tc>
          <w:tcPr>
            <w:tcW w:w="1807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12.46</w:t>
            </w:r>
          </w:p>
        </w:tc>
        <w:tc>
          <w:tcPr>
            <w:tcW w:w="1807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39.86</w:t>
            </w:r>
          </w:p>
        </w:tc>
        <w:tc>
          <w:tcPr>
            <w:tcW w:w="1808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47.13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三星级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4078</w:t>
            </w:r>
          </w:p>
        </w:tc>
        <w:tc>
          <w:tcPr>
            <w:tcW w:w="1807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93.69</w:t>
            </w:r>
          </w:p>
        </w:tc>
        <w:tc>
          <w:tcPr>
            <w:tcW w:w="1807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45.98</w:t>
            </w:r>
          </w:p>
        </w:tc>
        <w:tc>
          <w:tcPr>
            <w:tcW w:w="1808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40.53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四星级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2281</w:t>
            </w:r>
          </w:p>
        </w:tc>
        <w:tc>
          <w:tcPr>
            <w:tcW w:w="1807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151.95</w:t>
            </w:r>
          </w:p>
        </w:tc>
        <w:tc>
          <w:tcPr>
            <w:tcW w:w="1807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44.25</w:t>
            </w:r>
          </w:p>
        </w:tc>
        <w:tc>
          <w:tcPr>
            <w:tcW w:w="1808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40.10</w:t>
            </w:r>
          </w:p>
        </w:tc>
      </w:tr>
      <w:tr w:rsidR="004A2DCF" w:rsidTr="00741A1F">
        <w:trPr>
          <w:trHeight w:val="390"/>
          <w:jc w:val="center"/>
        </w:trPr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五星级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799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176.44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42.70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44.16</w:t>
            </w:r>
          </w:p>
        </w:tc>
      </w:tr>
    </w:tbl>
    <w:p w:rsidR="004A2DCF" w:rsidRDefault="004A2DCF" w:rsidP="004A2DCF">
      <w:pPr>
        <w:autoSpaceDE w:val="0"/>
        <w:autoSpaceDN w:val="0"/>
        <w:spacing w:line="360" w:lineRule="auto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全国星级饭店第一季度平均房价为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间夜，同比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下降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44%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；平均出租率为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，同比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下降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；每间可供出租客房收入为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167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间夜，同比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下降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.66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；每间客房平摊营业收入为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31935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间，同比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下降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年第一季度全国星级饭店经营情况平均指标统计表</w:t>
      </w: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（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按星级分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）</w:t>
      </w: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color w:val="000000"/>
          <w:sz w:val="24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5"/>
        <w:gridCol w:w="1417"/>
        <w:gridCol w:w="1481"/>
        <w:gridCol w:w="2410"/>
        <w:gridCol w:w="2367"/>
      </w:tblGrid>
      <w:tr w:rsidR="004A2DCF" w:rsidTr="00741A1F">
        <w:trPr>
          <w:trHeight w:val="786"/>
          <w:jc w:val="center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ind w:firstLineChars="200" w:firstLine="482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13970</wp:posOffset>
                      </wp:positionV>
                      <wp:extent cx="798830" cy="378460"/>
                      <wp:effectExtent l="10160" t="10160" r="10160" b="1143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37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F85B" id="直接箭头连接符 4" o:spid="_x0000_s1026" type="#_x0000_t32" style="position:absolute;left:0;text-align:left;margin-left:-5.25pt;margin-top:1.1pt;width:62.9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8EwwIAAI8FAAAOAAAAZHJzL2Uyb0RvYy54bWysVM2O0zAQviPxDpbv2SRN2qTRpqvdNOXC&#10;z0q7iLObOD8isSPbbVohXoEXQOIEnIDT3nkaWB6DsduG7XJBaFspmrE9n7+Zb8anZ5u2QWsqZM1Z&#10;jN0TByPKMp7XrIzxy+uFFWIkFWE5aTijMd5Sic9mjx+d9l1ER7ziTU4FAhAmo76LcaVUF9m2zCra&#10;EnnCO8pgs+CiJQpcUdq5ID2gt409cpyJ3XORd4JnVEpYne828czgFwXN1IuikFShJsbATZmvMN+l&#10;/tqzUxKVgnRVne1pkP9g0ZKawaUD1Jwoglai/guqrTPBJS/UScZbmxdFnVGTA2TjOveyuapIR00u&#10;UBzZDWWSDwebPV9fClTnMfYxYqQFiW7f3/x89+n229cfH29+ff+g7S+fka9L1XcygoiEXQqdbLZh&#10;V91Tnr2WiPGkIqykhvL1tgMcV0fYRyHakR1cuOyf8RzOkJXipm6bQrQaEiqCNkae7SAP3SiUwWIw&#10;DUMPRMxgywtCf2Lks0l0CO6EVE8ob5E2YiyVIHVZqYQzBo3AhWuuIuunUmlqJDoE6JsZX9RNY/qh&#10;YaiP8XQ8GsNlbQfFkaw0sZI3da7P6QgpymXSCLQmurnMz6QMO3ePCb5iucGtKMnTva1I3exs4NEw&#10;jUdNv+7IgbdRYJp1yN/00pupM03DNPQtfzRJLd+Zz63zReJbk4UbjOfePEnm7ltN1PWjqs5zyjTX&#10;Q1+7/r/1zX7Cdh05dPZQH/sY3RQSyB4zPV+MncD3QisIxp7le6ljXYSLxDpP3MkkSC+Si/Qe09Rk&#10;Lx+G7FBKzYqvFBVXVd6jvNZ94Y2nIxeDA+/AKNjphkhTwgOWKYGR4OpVrSrTyroJNcaR1qGj/3ut&#10;B/RdIQ4aam9QYZ/bn1KB5gd9zYToodiN15Ln20txmByYehO0f6H0s3LXB/vuOzr7DQAA//8DAFBL&#10;AwQUAAYACAAAACEAqLsJ0t0AAAAIAQAADwAAAGRycy9kb3ducmV2LnhtbEyPwU7DMBBE70j8g7VI&#10;XFDrOChVCdlUFRIHjrSVuLrxkqSN11HsNKFfj3uC42hGM2+KzWw7caHBt44R1DIBQVw503KNcNi/&#10;L9YgfNBsdOeYEH7Iw6a8vyt0btzEn3TZhVrEEva5RmhC6HMpfdWQ1X7peuLofbvB6hDlUEsz6CmW&#10;206mSbKSVrccFxrd01tD1Xk3WgTyY6aS7YutDx/X6ekrvZ6mfo/4+DBvX0EEmsNfGG74ER3KyHR0&#10;IxsvOoSFSrIYRUhTEDdfZc8gjggrtQZZFvL/gfIXAAD//wMAUEsBAi0AFAAGAAgAAAAhALaDOJL+&#10;AAAA4QEAABMAAAAAAAAAAAAAAAAAAAAAAFtDb250ZW50X1R5cGVzXS54bWxQSwECLQAUAAYACAAA&#10;ACEAOP0h/9YAAACUAQAACwAAAAAAAAAAAAAAAAAvAQAAX3JlbHMvLnJlbHNQSwECLQAUAAYACAAA&#10;ACEAA4S/BMMCAACPBQAADgAAAAAAAAAAAAAAAAAuAgAAZHJzL2Uyb0RvYy54bWxQSwECLQAUAAYA&#10;CAAAACEAqLsJ0t0AAAAIAQAADwAAAAAAAAAAAAAAAAAdBQAAZHJzL2Rvd25yZXYueG1sUEsFBgAA&#10;AAAEAAQA8wAAACcGAAAAAA==&#10;">
                      <v:fill o:detectmouseclick="t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星级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平均房价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间夜）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平均出租率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每间可供出租客房收入（元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间夜）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每间客房平摊营业收入（元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间）</w:t>
            </w:r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341.61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bookmarkStart w:id="1" w:name="_Hlk16680220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48.92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167.11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</w:pPr>
            <w:bookmarkStart w:id="2" w:name="_Hlk16680558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</w:rPr>
              <w:t>31935.87</w:t>
            </w:r>
            <w:bookmarkEnd w:id="2"/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一星级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85.04</w:t>
            </w:r>
          </w:p>
        </w:tc>
        <w:tc>
          <w:tcPr>
            <w:tcW w:w="1481" w:type="dxa"/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43.96</w:t>
            </w:r>
          </w:p>
        </w:tc>
        <w:tc>
          <w:tcPr>
            <w:tcW w:w="2410" w:type="dxa"/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37.39</w:t>
            </w:r>
          </w:p>
        </w:tc>
        <w:tc>
          <w:tcPr>
            <w:tcW w:w="2367" w:type="dxa"/>
            <w:shd w:val="clear" w:color="auto" w:fill="D9E2F3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8975.24</w:t>
            </w:r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二星级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159.31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47.75</w:t>
            </w:r>
          </w:p>
        </w:tc>
        <w:tc>
          <w:tcPr>
            <w:tcW w:w="2410" w:type="dxa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76.07</w:t>
            </w:r>
          </w:p>
        </w:tc>
        <w:tc>
          <w:tcPr>
            <w:tcW w:w="2367" w:type="dxa"/>
            <w:vAlign w:val="bottom"/>
          </w:tcPr>
          <w:p w:rsidR="004A2DCF" w:rsidRDefault="004A2DCF" w:rsidP="00741A1F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12974.84</w:t>
            </w:r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三星级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212.17 </w:t>
            </w:r>
          </w:p>
        </w:tc>
        <w:tc>
          <w:tcPr>
            <w:tcW w:w="1481" w:type="dxa"/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46.18</w:t>
            </w:r>
          </w:p>
        </w:tc>
        <w:tc>
          <w:tcPr>
            <w:tcW w:w="2410" w:type="dxa"/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97.98</w:t>
            </w:r>
          </w:p>
        </w:tc>
        <w:tc>
          <w:tcPr>
            <w:tcW w:w="2367" w:type="dxa"/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18962.18</w:t>
            </w:r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四星级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321.67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48.43</w:t>
            </w:r>
          </w:p>
        </w:tc>
        <w:tc>
          <w:tcPr>
            <w:tcW w:w="2410" w:type="dxa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155.78</w:t>
            </w:r>
          </w:p>
        </w:tc>
        <w:tc>
          <w:tcPr>
            <w:tcW w:w="2367" w:type="dxa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31356.12</w:t>
            </w:r>
          </w:p>
        </w:tc>
      </w:tr>
      <w:tr w:rsidR="004A2DCF" w:rsidTr="00741A1F">
        <w:trPr>
          <w:trHeight w:val="441"/>
          <w:jc w:val="center"/>
        </w:trPr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五星级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604.00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54.65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330.06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9E2F3"/>
            <w:vAlign w:val="bottom"/>
          </w:tcPr>
          <w:p w:rsidR="004A2DCF" w:rsidRDefault="004A2DCF" w:rsidP="00741A1F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62003.76</w:t>
            </w:r>
          </w:p>
        </w:tc>
      </w:tr>
    </w:tbl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二、</w:t>
      </w: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t>各省份情况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（一）总体经营情况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从第一季度各地区经营情况看，平均房价高于全国平均水平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个省份，位居全国前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上海、海南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广东和天津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最高为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海南、北京、上海、湖南和四川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65.29%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167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上海、海南、北京、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广东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和福建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419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31935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位的为上海、北京、江苏、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海南和浙江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，其中上海最高为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78803.68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（二）分星级情况</w:t>
      </w:r>
    </w:p>
    <w:p w:rsidR="004A2DCF" w:rsidRDefault="004A2DCF" w:rsidP="004A2DCF">
      <w:pPr>
        <w:widowControl/>
        <w:wordWrap w:val="0"/>
        <w:spacing w:line="480" w:lineRule="atLeas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一星级饭店：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平均房价高于全国一星级饭店平均水平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85.04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湖北和福建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的平均房价超过了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间夜；平均出租率高于全国一星级饭店平均水平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43.96%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个省份，其中河南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、湖北、甘肃和贵州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的平均出租率超过了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60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widowControl/>
        <w:wordWrap w:val="0"/>
        <w:spacing w:line="480" w:lineRule="atLeas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二星级饭店：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平均房价高于全国二星级饭店平均水平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159.31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的平均房价超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间夜；平均出租率高于全国二星级饭店平均水平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47.75%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湖南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widowControl/>
        <w:wordWrap w:val="0"/>
        <w:spacing w:line="480" w:lineRule="atLeas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三星级饭店：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平均房价高于全国三星级饭店平均水平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212.17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北京和上海的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间夜；平均出租率高于全国三星级饭店平均水平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46.18%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湖南、福建和海南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widowControl/>
        <w:wordWrap w:val="0"/>
        <w:spacing w:line="480" w:lineRule="atLeas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四星级饭店：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平均房价高于全国四星级饭店平均水平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321.67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个省份，其中上海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和北京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的平均房价超过了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间夜；平均出租率高于全国四星级饭店平均水平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48.43%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widowControl/>
        <w:wordWrap w:val="0"/>
        <w:spacing w:line="480" w:lineRule="atLeast"/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五星级饭店：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平均房价高于全国五星级饭店平均水平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604.00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海南和上海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的平均房价超过了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900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间夜；平均出租率高于全国五星级饭店平均水平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54.65%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上海、北京和湖北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的平均出租率超过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t>三、全国</w:t>
      </w: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t>50</w:t>
      </w: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t>个重点旅游城市情况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（一）规模结构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个重点旅游城市共有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3311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家星级饭店通过省级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文化和旅游行政部门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数据审核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其中，五星级饭店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564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家，占全国五星级饭店总数的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70.59%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；四星级饭店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1038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四星级饭店总数的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45.51%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；三星级饭店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1321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家，占全国三星级饭店总数的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32.39%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；二星级饭店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377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家，占全国二星级饭店总数的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27.91%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一星级饭店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家，占全国一星级饭店总数的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21.15%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540" w:lineRule="exact"/>
        <w:ind w:firstLine="646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（二）经营情况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第一季度全国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个重点旅游城市星级饭店营业收入为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285.31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亿元，占全国营业收入的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65.63%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。北京、上海、广州、杭州、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南京和深圳等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个城市的星级饭店营业收入超过了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其中北京营业收入最高，达到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48.04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亿元。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从第一季度各城市经营情况看，</w:t>
      </w:r>
      <w:r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平均房价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341.61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位的分别为三亚、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、深圳、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厦门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广州、成都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福州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苏州和武汉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的平均房价最高，为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801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48.92%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福州、深圳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海口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珠海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北京、上海和厦门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的平均出租率最高，为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76.28%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167.11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上海、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深圳、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、厦门、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福州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成都和武汉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的每间可供出租客房收入最高，为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611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06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间夜。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每间客房平摊营业收入高于全国平均水平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31935.87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间的有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个城市，位居前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位的分别为上海、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三亚、温州、南京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无锡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福州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宁波、苏州和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深圳，其中上海的每间客房平摊营业收入最高，为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78803.68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间。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53"/>
      </w:tblGrid>
      <w:tr w:rsidR="004A2DCF" w:rsidTr="00741A1F">
        <w:trPr>
          <w:trHeight w:val="895"/>
          <w:jc w:val="center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年第一季度重点旅游城市星级饭店平均房价前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名情况表</w:t>
            </w: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按星级分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</w:p>
          <w:p w:rsidR="004A2DCF" w:rsidRDefault="004A2DCF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单位：元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间夜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851"/>
              <w:gridCol w:w="992"/>
              <w:gridCol w:w="851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4A2DCF" w:rsidTr="00741A1F">
              <w:trPr>
                <w:trHeight w:val="344"/>
                <w:jc w:val="center"/>
              </w:trPr>
              <w:tc>
                <w:tcPr>
                  <w:tcW w:w="190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一星级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二星级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三星级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四星级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五星级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  <w:t>85.04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  <w:t>159.31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212.17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321.67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color w:val="000000"/>
                      <w:spacing w:val="-12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4C6E7"/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604.00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top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宁波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165.22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北京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348.27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北京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446.31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上海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508.39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三亚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1120.96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上海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307.92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拉萨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363.54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北京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494.01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上海</w:t>
                  </w:r>
                </w:p>
              </w:tc>
              <w:tc>
                <w:tcPr>
                  <w:tcW w:w="99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926.34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温州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282.12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深圳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329.55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黄山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446.49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广州</w:t>
                  </w:r>
                </w:p>
              </w:tc>
              <w:tc>
                <w:tcPr>
                  <w:tcW w:w="992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758.91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广州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251.51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上海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324.08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天津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420.03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深圳</w:t>
                  </w:r>
                </w:p>
              </w:tc>
              <w:tc>
                <w:tcPr>
                  <w:tcW w:w="99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752.90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兰州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238.36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杭州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318.24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广州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408.54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济南</w:t>
                  </w:r>
                </w:p>
              </w:tc>
              <w:tc>
                <w:tcPr>
                  <w:tcW w:w="992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715.44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太原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227.58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福州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302.43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深圳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401.86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哈尔滨</w:t>
                  </w:r>
                </w:p>
              </w:tc>
              <w:tc>
                <w:tcPr>
                  <w:tcW w:w="99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714.49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深圳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226.42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广州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280.47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杭州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398.85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厦门</w:t>
                  </w:r>
                </w:p>
              </w:tc>
              <w:tc>
                <w:tcPr>
                  <w:tcW w:w="992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705.08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秦皇岛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216.76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成都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271.96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珠海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391.02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成都</w:t>
                  </w:r>
                </w:p>
              </w:tc>
              <w:tc>
                <w:tcPr>
                  <w:tcW w:w="99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693.15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宁波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207.55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天津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268.24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福州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369.81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北京</w:t>
                  </w:r>
                </w:p>
              </w:tc>
              <w:tc>
                <w:tcPr>
                  <w:tcW w:w="992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644.90 </w:t>
                  </w:r>
                </w:p>
              </w:tc>
            </w:tr>
            <w:tr w:rsidR="004A2DCF" w:rsidTr="00741A1F">
              <w:trPr>
                <w:trHeight w:val="344"/>
                <w:jc w:val="center"/>
              </w:trPr>
              <w:tc>
                <w:tcPr>
                  <w:tcW w:w="1051" w:type="dxa"/>
                  <w:tcBorders>
                    <w:bottom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厦门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:rsidR="004A2DCF" w:rsidRDefault="004A2DCF" w:rsidP="00741A1F">
                  <w:pP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205.51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东莞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266.75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温州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366.48 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>兰州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Cs w:val="21"/>
                    </w:rPr>
                    <w:t xml:space="preserve">642.66 </w:t>
                  </w:r>
                </w:p>
              </w:tc>
            </w:tr>
          </w:tbl>
          <w:p w:rsidR="004A2DCF" w:rsidRDefault="004A2DCF" w:rsidP="00741A1F">
            <w:pPr>
              <w:autoSpaceDE w:val="0"/>
              <w:autoSpaceDN w:val="0"/>
              <w:spacing w:line="4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年第一季度重点旅游城市星级饭店平均出租率前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名情况表</w:t>
            </w: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按星级分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 </w:t>
            </w: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单位：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%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73"/>
              <w:gridCol w:w="787"/>
              <w:gridCol w:w="1197"/>
              <w:gridCol w:w="763"/>
              <w:gridCol w:w="1080"/>
              <w:gridCol w:w="850"/>
              <w:gridCol w:w="1070"/>
              <w:gridCol w:w="773"/>
              <w:gridCol w:w="1187"/>
              <w:gridCol w:w="920"/>
            </w:tblGrid>
            <w:tr w:rsidR="004A2DCF" w:rsidTr="00741A1F">
              <w:trPr>
                <w:trHeight w:val="348"/>
                <w:jc w:val="center"/>
              </w:trPr>
              <w:tc>
                <w:tcPr>
                  <w:tcW w:w="19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一星级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二星级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三星级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四星级</w:t>
                  </w:r>
                </w:p>
              </w:tc>
              <w:tc>
                <w:tcPr>
                  <w:tcW w:w="21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五星级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仿宋" w:eastAsia="仿宋" w:hAnsi="仿宋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" w:eastAsia="仿宋" w:hAnsi="仿宋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43.96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47.75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46.18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48.43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全国平均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4C6E7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  <w:lang w:bidi="ar"/>
                    </w:rPr>
                    <w:t>54.65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top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仿宋" w:eastAsia="仿宋" w:hAnsi="仿宋" w:cs="Times New Roman"/>
                      <w:color w:val="000000"/>
                      <w:kern w:val="0"/>
                      <w:szCs w:val="21"/>
                      <w:lang w:bidi="ar"/>
                    </w:rPr>
                    <w:t>宁波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32.82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哈尔滨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75.90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福州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64.47 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三亚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75.50 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三亚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78.59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广州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62.94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珠海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63.86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广州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66.62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海口</w:t>
                  </w:r>
                </w:p>
              </w:tc>
              <w:tc>
                <w:tcPr>
                  <w:tcW w:w="920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67.40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深圳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61.92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海口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62.84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南京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64.51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广州</w:t>
                  </w:r>
                </w:p>
              </w:tc>
              <w:tc>
                <w:tcPr>
                  <w:tcW w:w="920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67.01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郑州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60.82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南京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60.20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福州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63.35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丽江</w:t>
                  </w:r>
                </w:p>
              </w:tc>
              <w:tc>
                <w:tcPr>
                  <w:tcW w:w="920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66.56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海口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59.76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三亚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59.56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丽江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61.92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郑州</w:t>
                  </w:r>
                </w:p>
              </w:tc>
              <w:tc>
                <w:tcPr>
                  <w:tcW w:w="920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65.26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宁波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59.68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泉州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58.41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北京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60.07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深圳</w:t>
                  </w:r>
                </w:p>
              </w:tc>
              <w:tc>
                <w:tcPr>
                  <w:tcW w:w="920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64.03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合肥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59.17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昆明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57.44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长沙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59.47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南京</w:t>
                  </w:r>
                </w:p>
              </w:tc>
              <w:tc>
                <w:tcPr>
                  <w:tcW w:w="920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62.75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上海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58.43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长沙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56.46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昆明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58.64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武汉</w:t>
                  </w:r>
                </w:p>
              </w:tc>
              <w:tc>
                <w:tcPr>
                  <w:tcW w:w="920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62.67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长春</w:t>
                  </w:r>
                </w:p>
              </w:tc>
              <w:tc>
                <w:tcPr>
                  <w:tcW w:w="76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55.01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广州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56.20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深圳</w:t>
                  </w:r>
                </w:p>
              </w:tc>
              <w:tc>
                <w:tcPr>
                  <w:tcW w:w="773" w:type="dxa"/>
                  <w:tcBorders>
                    <w:righ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58.52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厦门</w:t>
                  </w:r>
                </w:p>
              </w:tc>
              <w:tc>
                <w:tcPr>
                  <w:tcW w:w="920" w:type="dxa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62.60 </w:t>
                  </w:r>
                </w:p>
              </w:tc>
            </w:tr>
            <w:tr w:rsidR="004A2DCF" w:rsidTr="00741A1F">
              <w:trPr>
                <w:trHeight w:val="348"/>
                <w:jc w:val="center"/>
              </w:trPr>
              <w:tc>
                <w:tcPr>
                  <w:tcW w:w="1173" w:type="dxa"/>
                  <w:tcBorders>
                    <w:bottom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7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widowControl/>
                    <w:jc w:val="center"/>
                    <w:textAlignment w:val="bottom"/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kern w:val="0"/>
                      <w:szCs w:val="21"/>
                      <w:lang w:bidi="ar"/>
                    </w:rPr>
                    <w:t>—</w:t>
                  </w:r>
                </w:p>
              </w:tc>
              <w:tc>
                <w:tcPr>
                  <w:tcW w:w="11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北京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54.51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深圳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55.83 </w:t>
                  </w:r>
                </w:p>
              </w:tc>
              <w:tc>
                <w:tcPr>
                  <w:tcW w:w="107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泉州</w:t>
                  </w:r>
                </w:p>
              </w:tc>
              <w:tc>
                <w:tcPr>
                  <w:tcW w:w="77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58.04 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>上海</w:t>
                  </w:r>
                </w:p>
              </w:tc>
              <w:tc>
                <w:tcPr>
                  <w:tcW w:w="920" w:type="dxa"/>
                  <w:tcBorders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2"/>
                      <w:szCs w:val="22"/>
                    </w:rPr>
                    <w:t xml:space="preserve">62.56 </w:t>
                  </w:r>
                </w:p>
              </w:tc>
            </w:tr>
          </w:tbl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A2DCF" w:rsidRDefault="004A2DCF" w:rsidP="004A2DCF">
      <w:pPr>
        <w:numPr>
          <w:ilvl w:val="0"/>
          <w:numId w:val="4"/>
        </w:numPr>
        <w:autoSpaceDE w:val="0"/>
        <w:autoSpaceDN w:val="0"/>
        <w:spacing w:beforeLines="50" w:before="156" w:line="520" w:lineRule="exact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32"/>
        </w:rPr>
        <w:lastRenderedPageBreak/>
        <w:t>比较分析</w:t>
      </w:r>
    </w:p>
    <w:p w:rsidR="004A2DCF" w:rsidRDefault="004A2DCF" w:rsidP="004A2DCF">
      <w:pPr>
        <w:numPr>
          <w:ilvl w:val="0"/>
          <w:numId w:val="5"/>
        </w:numPr>
        <w:autoSpaceDE w:val="0"/>
        <w:autoSpaceDN w:val="0"/>
        <w:spacing w:line="520" w:lineRule="exact"/>
        <w:ind w:firstLineChars="200" w:firstLine="643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分星级比较</w:t>
      </w:r>
    </w:p>
    <w:p w:rsidR="004A2DCF" w:rsidRDefault="004A2DCF" w:rsidP="004A2DCF">
      <w:pPr>
        <w:autoSpaceDE w:val="0"/>
        <w:autoSpaceDN w:val="0"/>
        <w:spacing w:line="240" w:lineRule="exact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年第一季度全国星级饭店经营情况平均指标比较</w:t>
      </w: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>按星级分</w:t>
      </w:r>
      <w:r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  <w:t xml:space="preserve"> )</w:t>
      </w:r>
    </w:p>
    <w:p w:rsidR="004A2DCF" w:rsidRDefault="004A2DCF" w:rsidP="004A2DCF">
      <w:pPr>
        <w:autoSpaceDE w:val="0"/>
        <w:autoSpaceDN w:val="0"/>
        <w:spacing w:line="400" w:lineRule="exact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"/>
        <w:gridCol w:w="1612"/>
        <w:gridCol w:w="1789"/>
        <w:gridCol w:w="1785"/>
        <w:gridCol w:w="2211"/>
      </w:tblGrid>
      <w:tr w:rsidR="004A2DCF" w:rsidTr="00741A1F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-3810</wp:posOffset>
                      </wp:positionV>
                      <wp:extent cx="628650" cy="539115"/>
                      <wp:effectExtent l="13335" t="5715" r="5715" b="762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94D9" id="直接箭头连接符 3" o:spid="_x0000_s1026" type="#_x0000_t32" style="position:absolute;left:0;text-align:left;margin-left:-4.55pt;margin-top:-.3pt;width:49.5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0FSgIAAFYEAAAOAAAAZHJzL2Uyb0RvYy54bWysVM2O0zAQviPxDpbv3TT9o42arlDSclmg&#10;0i4P4NpOYpHYlu02rRCvwAsg7Qk4Aae98zSwPAZj90dbuCBEDs44nvnmm5nPmV5umxptuLFCyRTH&#10;F12MuKSKCVmm+NXNojPGyDoiGamV5CnecYsvZ48fTVud8J6qVM24QQAibdLqFFfO6SSKLK14Q+yF&#10;0lzCYaFMQxxsTRkxQ1pAb+qo1+2OolYZpo2i3Fr4mu8P8SzgFwWn7mVRWO5QnWLg5sJqwrryazSb&#10;kqQ0RFeCHmiQf2DRECEh6QkqJ46gtRF/QDWCGmVV4S6oaiJVFILyUANUE3d/q+a6IpqHWqA5Vp/a&#10;ZP8fLH2xWRokWIr7GEnSwIju39/9ePfx/uuX7x/ufn679fbnT6jvW9Vqm0BEJpfGF0u38lpfKfra&#10;IqmyisiSB8o3Ow04sY+IzkL8xmpIuGqfKwY+ZO1U6Nu2MI2HhI6gbRjP7jQevnWIwsdRbzwawhAp&#10;HA37kzgehgwkOQZrY90zrhrkjRRbZ4goK5cpKUEIysQhFdlcWeepkeQY4DNLtRB1HfRQS9SmeDLs&#10;DSFZo6E5VpYh1qpaMO/nI6wpV1lt0IZ4cYXnQOjMzai1ZAG34oTND7Yjot7bwKOWHg/qBGYHa6+e&#10;N5PuZD6ejwedQW807wy6ed55usgGndEifjLM+3mW5fFbTy0eJJVgjEvP7qjkePB3Sjncqb0GT1o+&#10;dSQ6Rw+tA7LHdyAdBu1nu1fJSrHd0hwFAOINzoeL5m/Hwz3YD38Hs18AAAD//wMAUEsDBBQABgAI&#10;AAAAIQA7MiNO2wAAAAYBAAAPAAAAZHJzL2Rvd25yZXYueG1sTI5BS8NAFITvgv9heYIXaTepWpqY&#10;TSmCB4+2Ba+v2WcSzb4N2U0T++t9nvQ0DDPMfMV2dp060xBazwbSZQKKuPK25drA8fCy2IAKEdli&#10;55kMfFOAbXl9VWBu/cRvdN7HWskIhxwNNDH2udahashhWPqeWLIPPziMYoda2wEnGXedXiXJWjts&#10;WR4a7Om5oeprPzoDFMbHNNllrj6+Xqa799Xlc+oPxtzezLsnUJHm+FeGX3xBh1KYTn5kG1RnYJGl&#10;0hRdg5J4k2WgTqIP96DLQv/HL38AAAD//wMAUEsBAi0AFAAGAAgAAAAhALaDOJL+AAAA4QEAABMA&#10;AAAAAAAAAAAAAAAAAAAAAFtDb250ZW50X1R5cGVzXS54bWxQSwECLQAUAAYACAAAACEAOP0h/9YA&#10;AACUAQAACwAAAAAAAAAAAAAAAAAvAQAAX3JlbHMvLnJlbHNQSwECLQAUAAYACAAAACEAfnLtBUoC&#10;AABWBAAADgAAAAAAAAAAAAAAAAAuAgAAZHJzL2Uyb0RvYy54bWxQSwECLQAUAAYACAAAACEAOzIj&#10;TtsAAAAG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平均房价同比</w:t>
            </w:r>
          </w:p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平均出租率同比</w:t>
            </w:r>
          </w:p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每间可供出租客房收入同比（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每间客房平摊营业收入同比（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A2DCF" w:rsidTr="00741A1F">
        <w:trPr>
          <w:trHeight w:val="270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星级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shd w:val="clear" w:color="auto" w:fill="D7D7D7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A2DCF" w:rsidTr="00741A1F">
        <w:trPr>
          <w:trHeight w:val="438"/>
          <w:jc w:val="center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一星级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-19.66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-16.44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8.71</w:t>
            </w:r>
          </w:p>
        </w:tc>
      </w:tr>
      <w:tr w:rsidR="004A2DCF" w:rsidTr="00741A1F">
        <w:trPr>
          <w:trHeight w:val="438"/>
          <w:jc w:val="center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-1.20</w:t>
            </w:r>
          </w:p>
        </w:tc>
        <w:tc>
          <w:tcPr>
            <w:tcW w:w="1789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785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2211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-20.15</w:t>
            </w:r>
          </w:p>
        </w:tc>
      </w:tr>
      <w:tr w:rsidR="004A2DCF" w:rsidTr="00741A1F">
        <w:trPr>
          <w:trHeight w:val="438"/>
          <w:jc w:val="center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-3.14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-1.29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-3.72</w:t>
            </w:r>
          </w:p>
        </w:tc>
      </w:tr>
      <w:tr w:rsidR="004A2DCF" w:rsidTr="00741A1F">
        <w:trPr>
          <w:trHeight w:val="438"/>
          <w:jc w:val="center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789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4.67</w:t>
            </w:r>
          </w:p>
        </w:tc>
        <w:tc>
          <w:tcPr>
            <w:tcW w:w="1785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2211" w:type="dxa"/>
            <w:shd w:val="clear" w:color="auto" w:fill="D9E2F3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1.86</w:t>
            </w:r>
          </w:p>
        </w:tc>
      </w:tr>
      <w:tr w:rsidR="004A2DCF" w:rsidTr="00741A1F">
        <w:trPr>
          <w:trHeight w:val="438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CF" w:rsidRDefault="004A2DCF" w:rsidP="00741A1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2DCF" w:rsidRDefault="004A2DCF" w:rsidP="00741A1F">
            <w:pPr>
              <w:wordWrap w:val="0"/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2"/>
                <w:szCs w:val="22"/>
              </w:rPr>
              <w:t>1.85</w:t>
            </w:r>
          </w:p>
        </w:tc>
      </w:tr>
    </w:tbl>
    <w:p w:rsidR="004A2DCF" w:rsidRDefault="004A2DCF" w:rsidP="004A2DCF">
      <w:pPr>
        <w:autoSpaceDE w:val="0"/>
        <w:autoSpaceDN w:val="0"/>
        <w:spacing w:line="240" w:lineRule="exact"/>
        <w:ind w:firstLineChars="149" w:firstLine="479"/>
        <w:rPr>
          <w:rFonts w:ascii="Times New Roman" w:eastAsia="楷体" w:hAnsi="Times New Roman" w:cs="Times New Roman"/>
          <w:b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360" w:lineRule="auto"/>
        <w:ind w:firstLineChars="149" w:firstLine="479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（二）各省份与上年同期比较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平均房价：有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个省份上升，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52%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云南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15.55%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平均出租率：有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个省份上升，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甘肃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6.10%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16.23%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个省份增长，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新疆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；其余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15.95%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个省份增长，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山西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6.93%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个省份下降，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60.81%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3"/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（三）</w:t>
      </w: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50</w:t>
      </w:r>
      <w:r>
        <w:rPr>
          <w:rFonts w:ascii="Times New Roman" w:eastAsia="楷体" w:hAnsi="Times New Roman" w:cs="Times New Roman"/>
          <w:b/>
          <w:bCs/>
          <w:color w:val="000000"/>
          <w:sz w:val="32"/>
          <w:szCs w:val="32"/>
        </w:rPr>
        <w:t>个重点旅游城市与上年同期比较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平均房价：增幅位居前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张家界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秦皇岛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lastRenderedPageBreak/>
        <w:t>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银川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沈阳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桂林、洛阳、武汉、石家庄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张家界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32.49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为昆明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郑州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哈尔滨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南京、济南和海口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昆明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83%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平均出租率：增幅位居前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兰州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丽江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温州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洛阳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泉州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昆明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贵阳和无锡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11.50%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为秦皇岛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张家界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合肥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天津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海口、厦门、长春、重庆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秦皇岛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21.68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每间可供出租客房收入：增幅位居前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洛阳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银川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兰州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丽江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张家界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泉州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石家庄、呼和浩特和南宁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36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57%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为昆明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西宁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哈尔滨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海口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合肥、厦门和郑州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昆明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34.16%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每间客房平摊营业收入：增幅位居前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温州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郑州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呼和浩特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丽江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兰州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张家界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泉州、石家庄、宜昌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黄山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增幅最大，增幅为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25.03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；降幅位居前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位的城市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为大连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南昌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广州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三亚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西安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南京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桂林、银川和哈尔滨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，其中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大连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降幅最大，降幅为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40.63%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</w:p>
    <w:p w:rsidR="004A2DCF" w:rsidRDefault="004A2DCF" w:rsidP="004A2DCF">
      <w:pPr>
        <w:autoSpaceDE w:val="0"/>
        <w:autoSpaceDN w:val="0"/>
        <w:spacing w:line="360" w:lineRule="auto"/>
        <w:ind w:firstLineChars="200" w:firstLine="640"/>
        <w:rPr>
          <w:rFonts w:ascii="Times New Roman" w:eastAsia="仿宋" w:hAnsi="Times New Roman" w:cs="Times New Roman" w:hint="eastAsia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4"/>
      </w:tblGrid>
      <w:tr w:rsidR="004A2DCF" w:rsidTr="00741A1F">
        <w:trPr>
          <w:trHeight w:val="454"/>
          <w:jc w:val="center"/>
        </w:trPr>
        <w:tc>
          <w:tcPr>
            <w:tcW w:w="10544" w:type="dxa"/>
            <w:tcBorders>
              <w:left w:val="nil"/>
            </w:tcBorders>
            <w:vAlign w:val="center"/>
          </w:tcPr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年第一季度重点旅游城市同比增长前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4A2DCF" w:rsidRDefault="004A2DCF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单位：</w:t>
            </w: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%</w:t>
            </w:r>
          </w:p>
        </w:tc>
      </w:tr>
    </w:tbl>
    <w:p w:rsidR="004A2DCF" w:rsidRDefault="004A2DCF" w:rsidP="004A2DCF">
      <w:pPr>
        <w:rPr>
          <w:rFonts w:ascii="Times New Roman" w:eastAsia="仿宋" w:hAnsi="Times New Roman" w:cs="Times New Roman"/>
          <w:vanish/>
          <w:color w:val="000000"/>
          <w:szCs w:val="22"/>
        </w:rPr>
      </w:pPr>
    </w:p>
    <w:tbl>
      <w:tblPr>
        <w:tblpPr w:leftFromText="180" w:rightFromText="180" w:vertAnchor="text" w:horzAnchor="margin" w:tblpXSpec="center" w:tblpY="44"/>
        <w:tblW w:w="0" w:type="auto"/>
        <w:tblLayout w:type="fixed"/>
        <w:tblLook w:val="0000" w:firstRow="0" w:lastRow="0" w:firstColumn="0" w:lastColumn="0" w:noHBand="0" w:noVBand="0"/>
      </w:tblPr>
      <w:tblGrid>
        <w:gridCol w:w="10583"/>
      </w:tblGrid>
      <w:tr w:rsidR="004A2DCF" w:rsidTr="00741A1F">
        <w:trPr>
          <w:trHeight w:val="687"/>
        </w:trPr>
        <w:tc>
          <w:tcPr>
            <w:tcW w:w="10583" w:type="dxa"/>
            <w:tcBorders>
              <w:left w:val="nil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42"/>
              <w:gridCol w:w="1018"/>
              <w:gridCol w:w="1108"/>
              <w:gridCol w:w="1052"/>
              <w:gridCol w:w="1100"/>
              <w:gridCol w:w="1100"/>
              <w:gridCol w:w="1080"/>
              <w:gridCol w:w="1080"/>
            </w:tblGrid>
            <w:tr w:rsidR="004A2DCF" w:rsidTr="00741A1F">
              <w:trPr>
                <w:trHeight w:val="533"/>
                <w:jc w:val="center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lastRenderedPageBreak/>
                    <w:t>平均房价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平均出租率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每间可供出租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客房收入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每间客房平摊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营业收入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top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张家界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32.49 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黄山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11.50 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黄山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36.57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黄山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25.03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秦皇岛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27.56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11.16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15.55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温州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20.43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黄山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22.49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10.46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14.92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郑州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16.03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13.45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温州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5.92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14.15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呼和浩特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15.28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南宁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12.23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5.09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14.05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丽江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13.79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沈阳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11.16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4.88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张家界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10.61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兰州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9.06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桂林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10.95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昆明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4.23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10.44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张家界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8.92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洛阳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9.95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广州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3.03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石家庄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8.41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泉州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7.74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武汉</w:t>
                  </w:r>
                </w:p>
              </w:tc>
              <w:tc>
                <w:tcPr>
                  <w:tcW w:w="101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9.07 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贵阳</w:t>
                  </w:r>
                </w:p>
              </w:tc>
              <w:tc>
                <w:tcPr>
                  <w:tcW w:w="105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1.71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呼和浩特</w:t>
                  </w:r>
                </w:p>
              </w:tc>
              <w:tc>
                <w:tcPr>
                  <w:tcW w:w="110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6.15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石家庄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7.47 </w:t>
                  </w:r>
                </w:p>
              </w:tc>
            </w:tr>
            <w:tr w:rsidR="004A2DCF" w:rsidTr="00741A1F">
              <w:trPr>
                <w:trHeight w:val="393"/>
                <w:jc w:val="center"/>
              </w:trPr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石家庄</w:t>
                  </w:r>
                </w:p>
              </w:tc>
              <w:tc>
                <w:tcPr>
                  <w:tcW w:w="101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8.08</w:t>
                  </w: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无锡</w:t>
                  </w:r>
                </w:p>
              </w:tc>
              <w:tc>
                <w:tcPr>
                  <w:tcW w:w="105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1.33 </w:t>
                  </w:r>
                </w:p>
              </w:tc>
              <w:tc>
                <w:tcPr>
                  <w:tcW w:w="11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南宁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6.08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宜昌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6.60</w:t>
                  </w:r>
                </w:p>
              </w:tc>
            </w:tr>
          </w:tbl>
          <w:p w:rsidR="004A2DCF" w:rsidRDefault="004A2DCF" w:rsidP="00741A1F">
            <w:pPr>
              <w:widowControl/>
              <w:autoSpaceDE w:val="0"/>
              <w:autoSpaceDN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  <w:p w:rsidR="004A2DCF" w:rsidRDefault="004A2DCF" w:rsidP="00741A1F">
            <w:pPr>
              <w:autoSpaceDE w:val="0"/>
              <w:autoSpaceDN w:val="0"/>
              <w:spacing w:line="400" w:lineRule="exact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A2DCF" w:rsidRDefault="004A2DCF" w:rsidP="00741A1F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年第一季度重点旅游城市同比下降前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sz w:val="28"/>
                <w:szCs w:val="28"/>
              </w:rPr>
              <w:t>名</w:t>
            </w:r>
          </w:p>
          <w:p w:rsidR="004A2DCF" w:rsidRDefault="004A2DCF" w:rsidP="00741A1F">
            <w:pPr>
              <w:widowControl/>
              <w:autoSpaceDE w:val="0"/>
              <w:autoSpaceDN w:val="0"/>
              <w:spacing w:line="400" w:lineRule="exact"/>
              <w:ind w:firstLineChars="3500" w:firstLine="8400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8"/>
              </w:rPr>
              <w:t>单位：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8"/>
              </w:rPr>
              <w:t>%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038"/>
              <w:gridCol w:w="1088"/>
              <w:gridCol w:w="1072"/>
              <w:gridCol w:w="1080"/>
              <w:gridCol w:w="1080"/>
              <w:gridCol w:w="1080"/>
              <w:gridCol w:w="1080"/>
            </w:tblGrid>
            <w:tr w:rsidR="004A2DCF" w:rsidTr="00741A1F">
              <w:trPr>
                <w:trHeight w:val="720"/>
                <w:jc w:val="center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平均房价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平均出租率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每间可供出租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客房收入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7D7D7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每间客房平摊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kern w:val="0"/>
                      <w:szCs w:val="21"/>
                    </w:rPr>
                    <w:t>营业收入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昆明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-36.83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秦皇岛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-21.68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昆明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-34.16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-40.63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北京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-15.50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张家界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-16.51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西宁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-15.98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南昌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-26.10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-10.71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西宁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-11.42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北京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-15.95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广州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-24.19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郑州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-7.01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合肥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-10.79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-15.74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三亚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-17.43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auto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-6.40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-10.65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-15.09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北京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-17.33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西宁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-5.15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天津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-9.88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-13.76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西安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-15.07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auto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大连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-4.96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海口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-9.41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海口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-12.56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南京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-13.96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南京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-4.67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厦门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-9.04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合肥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-10.30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桂林</w:t>
                  </w:r>
                </w:p>
              </w:tc>
              <w:tc>
                <w:tcPr>
                  <w:tcW w:w="1080" w:type="dxa"/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-13.48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济南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-3.51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长春</w:t>
                  </w:r>
                </w:p>
              </w:tc>
              <w:tc>
                <w:tcPr>
                  <w:tcW w:w="1072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-8.84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厦门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-9.71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银川</w:t>
                  </w:r>
                </w:p>
              </w:tc>
              <w:tc>
                <w:tcPr>
                  <w:tcW w:w="1080" w:type="dxa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-13.21 </w:t>
                  </w:r>
                </w:p>
              </w:tc>
            </w:tr>
            <w:tr w:rsidR="004A2DCF" w:rsidTr="00741A1F">
              <w:trPr>
                <w:trHeight w:val="391"/>
                <w:jc w:val="center"/>
              </w:trPr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海口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-3.48 </w:t>
                  </w:r>
                </w:p>
              </w:tc>
              <w:tc>
                <w:tcPr>
                  <w:tcW w:w="10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重庆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-8.44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郑州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-9.14 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E2F3"/>
                  <w:vAlign w:val="bottom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>哈尔滨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D9E2F3"/>
                  <w:vAlign w:val="center"/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jc w:val="center"/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仿宋" w:hAnsi="Times New Roman" w:cs="Times New Roman"/>
                      <w:color w:val="000000"/>
                      <w:sz w:val="20"/>
                      <w:szCs w:val="20"/>
                    </w:rPr>
                    <w:t xml:space="preserve">-12.96 </w:t>
                  </w:r>
                </w:p>
              </w:tc>
            </w:tr>
            <w:tr w:rsidR="004A2DCF" w:rsidTr="00741A1F">
              <w:tblPrEx>
                <w:tblBorders>
                  <w:top w:val="single" w:sz="4" w:space="0" w:color="auto"/>
                </w:tblBorders>
              </w:tblPrEx>
              <w:trPr>
                <w:trHeight w:val="100"/>
                <w:jc w:val="center"/>
              </w:trPr>
              <w:tc>
                <w:tcPr>
                  <w:tcW w:w="8640" w:type="dxa"/>
                  <w:gridSpan w:val="8"/>
                  <w:tcBorders>
                    <w:top w:val="single" w:sz="4" w:space="0" w:color="auto"/>
                  </w:tcBorders>
                </w:tcPr>
                <w:p w:rsidR="004A2DCF" w:rsidRDefault="004A2DCF" w:rsidP="00741A1F">
                  <w:pPr>
                    <w:framePr w:hSpace="180" w:wrap="around" w:vAnchor="text" w:hAnchor="margin" w:xAlign="center" w:y="44"/>
                    <w:widowControl/>
                    <w:autoSpaceDE w:val="0"/>
                    <w:autoSpaceDN w:val="0"/>
                    <w:spacing w:line="400" w:lineRule="exact"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color w:val="000000"/>
                      <w:spacing w:val="-8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4A2DCF" w:rsidRDefault="004A2DCF" w:rsidP="00741A1F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pacing w:val="-8"/>
                <w:kern w:val="0"/>
                <w:sz w:val="28"/>
                <w:szCs w:val="28"/>
              </w:rPr>
            </w:pPr>
          </w:p>
        </w:tc>
      </w:tr>
    </w:tbl>
    <w:p w:rsidR="004A2DCF" w:rsidRDefault="004A2DCF" w:rsidP="004A2DCF">
      <w:pPr>
        <w:tabs>
          <w:tab w:val="left" w:pos="1276"/>
          <w:tab w:val="left" w:pos="1418"/>
          <w:tab w:val="left" w:pos="1560"/>
        </w:tabs>
        <w:autoSpaceDE w:val="0"/>
        <w:autoSpaceDN w:val="0"/>
        <w:spacing w:line="360" w:lineRule="auto"/>
        <w:rPr>
          <w:rFonts w:ascii="Times New Roman" w:eastAsia="仿宋" w:hAnsi="Times New Roman" w:cs="Times New Roman"/>
          <w:bCs/>
          <w:color w:val="000000"/>
          <w:sz w:val="32"/>
          <w:szCs w:val="28"/>
        </w:rPr>
      </w:pPr>
    </w:p>
    <w:p w:rsidR="004A2DCF" w:rsidRDefault="004A2DCF" w:rsidP="004A2DCF">
      <w:pPr>
        <w:rPr>
          <w:rFonts w:ascii="Times New Roman" w:eastAsia="仿宋" w:hAnsi="Times New Roman" w:cs="Times New Roman" w:hint="eastAsia"/>
          <w:color w:val="FF0000"/>
          <w:sz w:val="32"/>
          <w:szCs w:val="32"/>
        </w:rPr>
      </w:pPr>
    </w:p>
    <w:p w:rsidR="00B03765" w:rsidRDefault="00B03765"/>
    <w:sectPr w:rsidR="00B0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D3E726"/>
    <w:multiLevelType w:val="singleLevel"/>
    <w:tmpl w:val="B5D3E7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5D5276"/>
    <w:multiLevelType w:val="singleLevel"/>
    <w:tmpl w:val="0E5D5276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5A44AFF4"/>
    <w:multiLevelType w:val="singleLevel"/>
    <w:tmpl w:val="5A44AFF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A44F21C"/>
    <w:multiLevelType w:val="singleLevel"/>
    <w:tmpl w:val="5A44F21C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5DB6431C"/>
    <w:multiLevelType w:val="singleLevel"/>
    <w:tmpl w:val="5DB6431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4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F"/>
    <w:rsid w:val="004A2DCF"/>
    <w:rsid w:val="00B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5FDF7-C7C9-4F2F-A57E-26AD3ED1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1">
    <w:name w:val="z-窗体顶端 字符1"/>
    <w:link w:val="z-"/>
    <w:rsid w:val="004A2DCF"/>
    <w:rPr>
      <w:rFonts w:ascii="Arial" w:hAnsi="Arial" w:cs="Arial"/>
      <w:vanish/>
      <w:sz w:val="16"/>
      <w:szCs w:val="16"/>
    </w:rPr>
  </w:style>
  <w:style w:type="character" w:customStyle="1" w:styleId="z-CharChar">
    <w:name w:val="z-窗体底端 Char Char"/>
    <w:rsid w:val="004A2DCF"/>
    <w:rPr>
      <w:rFonts w:ascii="Arial" w:hAnsi="Arial" w:cs="Arial"/>
      <w:vanish/>
      <w:sz w:val="16"/>
      <w:szCs w:val="16"/>
    </w:rPr>
  </w:style>
  <w:style w:type="character" w:customStyle="1" w:styleId="1">
    <w:name w:val="正文文本缩进 字符1"/>
    <w:link w:val="a3"/>
    <w:rsid w:val="004A2DCF"/>
    <w:rPr>
      <w:rFonts w:ascii="仿宋_GB2312" w:eastAsia="仿宋_GB2312" w:hAnsi="宋体"/>
      <w:sz w:val="32"/>
      <w:szCs w:val="32"/>
    </w:rPr>
  </w:style>
  <w:style w:type="character" w:customStyle="1" w:styleId="a4">
    <w:name w:val="文档结构图 字符"/>
    <w:link w:val="a5"/>
    <w:uiPriority w:val="99"/>
    <w:qFormat/>
    <w:rsid w:val="004A2DCF"/>
    <w:rPr>
      <w:rFonts w:ascii="宋体"/>
      <w:sz w:val="18"/>
      <w:szCs w:val="18"/>
    </w:rPr>
  </w:style>
  <w:style w:type="character" w:customStyle="1" w:styleId="a6">
    <w:name w:val="正文文本 字符"/>
    <w:uiPriority w:val="99"/>
    <w:semiHidden/>
    <w:rsid w:val="004A2DCF"/>
    <w:rPr>
      <w:rFonts w:ascii="Calibri" w:hAnsi="Calibri" w:cs="黑体"/>
      <w:kern w:val="2"/>
      <w:sz w:val="21"/>
      <w:szCs w:val="24"/>
    </w:rPr>
  </w:style>
  <w:style w:type="character" w:customStyle="1" w:styleId="bjh-p">
    <w:name w:val="bjh-p"/>
    <w:rsid w:val="004A2DCF"/>
  </w:style>
  <w:style w:type="character" w:customStyle="1" w:styleId="Char">
    <w:name w:val="批注框文本 Char"/>
    <w:rsid w:val="004A2DCF"/>
    <w:rPr>
      <w:sz w:val="18"/>
      <w:szCs w:val="18"/>
    </w:rPr>
  </w:style>
  <w:style w:type="character" w:customStyle="1" w:styleId="Char0">
    <w:name w:val="批注主题 Char"/>
    <w:rsid w:val="004A2DCF"/>
    <w:rPr>
      <w:rFonts w:eastAsia="宋体"/>
      <w:b/>
      <w:bCs/>
      <w:szCs w:val="24"/>
    </w:rPr>
  </w:style>
  <w:style w:type="character" w:styleId="a7">
    <w:name w:val="FollowedHyperlink"/>
    <w:rsid w:val="004A2DCF"/>
    <w:rPr>
      <w:color w:val="800080"/>
      <w:u w:val="single"/>
    </w:rPr>
  </w:style>
  <w:style w:type="character" w:customStyle="1" w:styleId="pagenumber">
    <w:name w:val="page number"/>
    <w:basedOn w:val="a0"/>
    <w:rsid w:val="004A2DCF"/>
  </w:style>
  <w:style w:type="character" w:customStyle="1" w:styleId="a8">
    <w:name w:val="日期 字符"/>
    <w:link w:val="a9"/>
    <w:uiPriority w:val="99"/>
    <w:qFormat/>
    <w:rsid w:val="004A2DCF"/>
    <w:rPr>
      <w:rFonts w:ascii="Calibri" w:hAnsi="Calibri"/>
    </w:rPr>
  </w:style>
  <w:style w:type="character" w:customStyle="1" w:styleId="10">
    <w:name w:val="不明显参考1"/>
    <w:uiPriority w:val="31"/>
    <w:qFormat/>
    <w:rsid w:val="004A2DCF"/>
    <w:rPr>
      <w:smallCaps/>
      <w:color w:val="C0504D"/>
      <w:u w:val="single"/>
    </w:rPr>
  </w:style>
  <w:style w:type="character" w:customStyle="1" w:styleId="z-0">
    <w:name w:val="z-窗体顶端 字符"/>
    <w:uiPriority w:val="99"/>
    <w:semiHidden/>
    <w:rsid w:val="004A2DCF"/>
    <w:rPr>
      <w:rFonts w:ascii="Arial" w:hAnsi="Arial" w:cs="Arial"/>
      <w:vanish/>
      <w:kern w:val="2"/>
      <w:sz w:val="16"/>
      <w:szCs w:val="16"/>
    </w:rPr>
  </w:style>
  <w:style w:type="character" w:customStyle="1" w:styleId="11">
    <w:name w:val="文档结构图 字符1"/>
    <w:uiPriority w:val="99"/>
    <w:semiHidden/>
    <w:qFormat/>
    <w:rsid w:val="004A2DCF"/>
    <w:rPr>
      <w:rFonts w:ascii="Microsoft YaHei UI" w:eastAsia="Microsoft YaHei UI" w:hAnsi="Calibri" w:cs="Times New Roman"/>
      <w:kern w:val="2"/>
      <w:sz w:val="18"/>
      <w:szCs w:val="18"/>
    </w:rPr>
  </w:style>
  <w:style w:type="character" w:customStyle="1" w:styleId="aa">
    <w:name w:val="页眉 字符"/>
    <w:link w:val="ab"/>
    <w:uiPriority w:val="99"/>
    <w:qFormat/>
    <w:rsid w:val="004A2DCF"/>
    <w:rPr>
      <w:rFonts w:cs="黑体"/>
      <w:sz w:val="18"/>
      <w:szCs w:val="24"/>
    </w:rPr>
  </w:style>
  <w:style w:type="character" w:styleId="ac">
    <w:name w:val="Hyperlink"/>
    <w:unhideWhenUsed/>
    <w:qFormat/>
    <w:rsid w:val="004A2DCF"/>
    <w:rPr>
      <w:color w:val="0000FF"/>
      <w:u w:val="single"/>
    </w:rPr>
  </w:style>
  <w:style w:type="character" w:styleId="ad">
    <w:name w:val="page number"/>
    <w:basedOn w:val="a0"/>
    <w:rsid w:val="004A2DCF"/>
  </w:style>
  <w:style w:type="character" w:customStyle="1" w:styleId="z-2">
    <w:name w:val="z-窗体底端 字符"/>
    <w:uiPriority w:val="99"/>
    <w:semiHidden/>
    <w:rsid w:val="004A2DCF"/>
    <w:rPr>
      <w:rFonts w:ascii="Arial" w:hAnsi="Arial" w:cs="Arial"/>
      <w:vanish/>
      <w:kern w:val="2"/>
      <w:sz w:val="16"/>
      <w:szCs w:val="16"/>
    </w:rPr>
  </w:style>
  <w:style w:type="character" w:customStyle="1" w:styleId="Char1">
    <w:name w:val="页眉 Char"/>
    <w:uiPriority w:val="99"/>
    <w:semiHidden/>
    <w:rsid w:val="004A2DCF"/>
    <w:rPr>
      <w:sz w:val="18"/>
      <w:szCs w:val="18"/>
    </w:rPr>
  </w:style>
  <w:style w:type="character" w:styleId="ae">
    <w:name w:val="annotation reference"/>
    <w:unhideWhenUsed/>
    <w:rsid w:val="004A2DCF"/>
    <w:rPr>
      <w:sz w:val="21"/>
      <w:szCs w:val="21"/>
    </w:rPr>
  </w:style>
  <w:style w:type="character" w:customStyle="1" w:styleId="af">
    <w:name w:val="批注文字 字符"/>
    <w:uiPriority w:val="99"/>
    <w:semiHidden/>
    <w:rsid w:val="004A2DCF"/>
    <w:rPr>
      <w:rFonts w:ascii="Calibri" w:hAnsi="Calibri"/>
      <w:kern w:val="2"/>
      <w:sz w:val="21"/>
      <w:szCs w:val="22"/>
    </w:rPr>
  </w:style>
  <w:style w:type="character" w:customStyle="1" w:styleId="Char2">
    <w:name w:val="页脚 Char"/>
    <w:uiPriority w:val="99"/>
    <w:rsid w:val="004A2DCF"/>
    <w:rPr>
      <w:sz w:val="18"/>
      <w:szCs w:val="18"/>
    </w:rPr>
  </w:style>
  <w:style w:type="character" w:customStyle="1" w:styleId="Char10">
    <w:name w:val="批注文字 Char1"/>
    <w:uiPriority w:val="99"/>
    <w:semiHidden/>
    <w:rsid w:val="004A2DCF"/>
  </w:style>
  <w:style w:type="character" w:customStyle="1" w:styleId="af0">
    <w:name w:val="批注框文本 字符"/>
    <w:link w:val="af1"/>
    <w:uiPriority w:val="99"/>
    <w:qFormat/>
    <w:rsid w:val="004A2DCF"/>
    <w:rPr>
      <w:rFonts w:ascii="Calibri" w:hAnsi="Calibri" w:cs="黑体"/>
      <w:sz w:val="18"/>
      <w:szCs w:val="18"/>
    </w:rPr>
  </w:style>
  <w:style w:type="character" w:customStyle="1" w:styleId="Char11">
    <w:name w:val="批注主题 Char1"/>
    <w:uiPriority w:val="99"/>
    <w:semiHidden/>
    <w:rsid w:val="004A2DCF"/>
    <w:rPr>
      <w:b/>
      <w:bCs/>
    </w:rPr>
  </w:style>
  <w:style w:type="character" w:customStyle="1" w:styleId="af2">
    <w:name w:val="正文文本缩进 字符"/>
    <w:uiPriority w:val="99"/>
    <w:semiHidden/>
    <w:rsid w:val="004A2DCF"/>
    <w:rPr>
      <w:rFonts w:ascii="Calibri" w:hAnsi="Calibri" w:cs="黑体"/>
      <w:kern w:val="2"/>
      <w:sz w:val="21"/>
      <w:szCs w:val="24"/>
    </w:rPr>
  </w:style>
  <w:style w:type="character" w:customStyle="1" w:styleId="z-10">
    <w:name w:val="z-窗体底端 字符1"/>
    <w:link w:val="z-3"/>
    <w:rsid w:val="004A2DCF"/>
    <w:rPr>
      <w:rFonts w:ascii="Arial" w:hAnsi="Arial" w:cs="Arial"/>
      <w:vanish/>
      <w:sz w:val="16"/>
      <w:szCs w:val="16"/>
    </w:rPr>
  </w:style>
  <w:style w:type="character" w:customStyle="1" w:styleId="af3">
    <w:name w:val="批注主题 字符"/>
    <w:link w:val="af4"/>
    <w:uiPriority w:val="99"/>
    <w:rsid w:val="004A2DCF"/>
    <w:rPr>
      <w:rFonts w:ascii="Calibri" w:hAnsi="Calibri"/>
      <w:b/>
      <w:bCs/>
    </w:rPr>
  </w:style>
  <w:style w:type="character" w:customStyle="1" w:styleId="12">
    <w:name w:val="正文文本 字符1"/>
    <w:link w:val="af5"/>
    <w:rsid w:val="004A2DCF"/>
    <w:rPr>
      <w:rFonts w:ascii="宋体" w:hAnsi="宋体"/>
      <w:color w:val="000000"/>
      <w:sz w:val="24"/>
      <w:szCs w:val="32"/>
    </w:rPr>
  </w:style>
  <w:style w:type="character" w:customStyle="1" w:styleId="af6">
    <w:name w:val="页脚 字符"/>
    <w:link w:val="af7"/>
    <w:uiPriority w:val="99"/>
    <w:qFormat/>
    <w:rsid w:val="004A2DCF"/>
    <w:rPr>
      <w:rFonts w:ascii="Calibri" w:hAnsi="Calibri" w:cs="黑体"/>
      <w:sz w:val="18"/>
      <w:szCs w:val="18"/>
    </w:rPr>
  </w:style>
  <w:style w:type="character" w:customStyle="1" w:styleId="Char3">
    <w:name w:val="批注文字 Char"/>
    <w:rsid w:val="004A2DCF"/>
    <w:rPr>
      <w:rFonts w:eastAsia="宋体"/>
      <w:szCs w:val="24"/>
    </w:rPr>
  </w:style>
  <w:style w:type="paragraph" w:styleId="a3">
    <w:name w:val="Body Text Indent"/>
    <w:basedOn w:val="a"/>
    <w:link w:val="1"/>
    <w:rsid w:val="004A2DCF"/>
    <w:pPr>
      <w:spacing w:line="560" w:lineRule="exact"/>
      <w:ind w:firstLineChars="200" w:firstLine="640"/>
    </w:pPr>
    <w:rPr>
      <w:rFonts w:ascii="仿宋_GB2312" w:eastAsia="仿宋_GB2312" w:hAnsi="宋体" w:cstheme="minorBidi"/>
      <w:sz w:val="32"/>
      <w:szCs w:val="32"/>
    </w:rPr>
  </w:style>
  <w:style w:type="character" w:customStyle="1" w:styleId="2">
    <w:name w:val="正文文本缩进 字符2"/>
    <w:basedOn w:val="a0"/>
    <w:uiPriority w:val="99"/>
    <w:semiHidden/>
    <w:rsid w:val="004A2DCF"/>
    <w:rPr>
      <w:rFonts w:ascii="Calibri" w:eastAsia="宋体" w:hAnsi="Calibri" w:cs="黑体"/>
      <w:szCs w:val="24"/>
    </w:rPr>
  </w:style>
  <w:style w:type="paragraph" w:styleId="af7">
    <w:name w:val="footer"/>
    <w:basedOn w:val="a"/>
    <w:link w:val="af6"/>
    <w:uiPriority w:val="99"/>
    <w:qFormat/>
    <w:rsid w:val="004A2DC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13">
    <w:name w:val="页脚 字符1"/>
    <w:basedOn w:val="a0"/>
    <w:uiPriority w:val="99"/>
    <w:semiHidden/>
    <w:rsid w:val="004A2DCF"/>
    <w:rPr>
      <w:rFonts w:ascii="Calibri" w:eastAsia="宋体" w:hAnsi="Calibri" w:cs="黑体"/>
      <w:sz w:val="18"/>
      <w:szCs w:val="18"/>
    </w:rPr>
  </w:style>
  <w:style w:type="paragraph" w:customStyle="1" w:styleId="xl35">
    <w:name w:val="xl35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b/>
      <w:bCs/>
      <w:kern w:val="0"/>
      <w:sz w:val="24"/>
    </w:rPr>
  </w:style>
  <w:style w:type="paragraph" w:styleId="a5">
    <w:name w:val="Document Map"/>
    <w:basedOn w:val="a"/>
    <w:link w:val="a4"/>
    <w:uiPriority w:val="99"/>
    <w:unhideWhenUsed/>
    <w:qFormat/>
    <w:rsid w:val="004A2DCF"/>
    <w:rPr>
      <w:rFonts w:ascii="宋体" w:eastAsiaTheme="minorEastAsia" w:hAnsiTheme="minorHAnsi" w:cstheme="minorBidi"/>
      <w:sz w:val="18"/>
      <w:szCs w:val="18"/>
    </w:rPr>
  </w:style>
  <w:style w:type="character" w:customStyle="1" w:styleId="20">
    <w:name w:val="文档结构图 字符2"/>
    <w:basedOn w:val="a0"/>
    <w:uiPriority w:val="99"/>
    <w:semiHidden/>
    <w:rsid w:val="004A2DCF"/>
    <w:rPr>
      <w:rFonts w:ascii="Microsoft YaHei UI" w:eastAsia="Microsoft YaHei UI" w:hAnsi="Calibri" w:cs="黑体"/>
      <w:sz w:val="18"/>
      <w:szCs w:val="18"/>
    </w:rPr>
  </w:style>
  <w:style w:type="paragraph" w:styleId="ab">
    <w:name w:val="header"/>
    <w:basedOn w:val="a"/>
    <w:link w:val="aa"/>
    <w:uiPriority w:val="99"/>
    <w:qFormat/>
    <w:rsid w:val="004A2D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18"/>
    </w:rPr>
  </w:style>
  <w:style w:type="character" w:customStyle="1" w:styleId="14">
    <w:name w:val="页眉 字符1"/>
    <w:basedOn w:val="a0"/>
    <w:uiPriority w:val="99"/>
    <w:semiHidden/>
    <w:rsid w:val="004A2DCF"/>
    <w:rPr>
      <w:rFonts w:ascii="Calibri" w:eastAsia="宋体" w:hAnsi="Calibri" w:cs="黑体"/>
      <w:sz w:val="18"/>
      <w:szCs w:val="18"/>
    </w:rPr>
  </w:style>
  <w:style w:type="paragraph" w:styleId="af5">
    <w:name w:val="Body Text"/>
    <w:basedOn w:val="a"/>
    <w:link w:val="12"/>
    <w:rsid w:val="004A2DCF"/>
    <w:pPr>
      <w:spacing w:line="240" w:lineRule="atLeast"/>
    </w:pPr>
    <w:rPr>
      <w:rFonts w:ascii="宋体" w:eastAsiaTheme="minorEastAsia" w:hAnsi="宋体" w:cstheme="minorBidi"/>
      <w:color w:val="000000"/>
      <w:sz w:val="24"/>
      <w:szCs w:val="32"/>
    </w:rPr>
  </w:style>
  <w:style w:type="character" w:customStyle="1" w:styleId="21">
    <w:name w:val="正文文本 字符2"/>
    <w:basedOn w:val="a0"/>
    <w:uiPriority w:val="99"/>
    <w:semiHidden/>
    <w:rsid w:val="004A2DCF"/>
    <w:rPr>
      <w:rFonts w:ascii="Calibri" w:eastAsia="宋体" w:hAnsi="Calibri" w:cs="黑体"/>
      <w:szCs w:val="24"/>
    </w:rPr>
  </w:style>
  <w:style w:type="paragraph" w:styleId="z-">
    <w:name w:val="HTML Top of Form"/>
    <w:basedOn w:val="a"/>
    <w:next w:val="a"/>
    <w:link w:val="z-1"/>
    <w:rsid w:val="004A2DCF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0">
    <w:name w:val="z-窗体顶端 字符2"/>
    <w:basedOn w:val="a0"/>
    <w:uiPriority w:val="99"/>
    <w:semiHidden/>
    <w:rsid w:val="004A2DCF"/>
    <w:rPr>
      <w:rFonts w:ascii="Arial" w:eastAsia="宋体" w:hAnsi="Arial" w:cs="Arial"/>
      <w:vanish/>
      <w:sz w:val="16"/>
      <w:szCs w:val="16"/>
    </w:rPr>
  </w:style>
  <w:style w:type="paragraph" w:customStyle="1" w:styleId="xl37">
    <w:name w:val="xl37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paragraph" w:styleId="af1">
    <w:name w:val="Balloon Text"/>
    <w:basedOn w:val="a"/>
    <w:link w:val="af0"/>
    <w:uiPriority w:val="99"/>
    <w:unhideWhenUsed/>
    <w:qFormat/>
    <w:rsid w:val="004A2DCF"/>
    <w:rPr>
      <w:rFonts w:eastAsiaTheme="minorEastAsia"/>
      <w:sz w:val="18"/>
      <w:szCs w:val="18"/>
    </w:rPr>
  </w:style>
  <w:style w:type="character" w:customStyle="1" w:styleId="15">
    <w:name w:val="批注框文本 字符1"/>
    <w:basedOn w:val="a0"/>
    <w:uiPriority w:val="99"/>
    <w:semiHidden/>
    <w:rsid w:val="004A2DCF"/>
    <w:rPr>
      <w:rFonts w:ascii="Calibri" w:eastAsia="宋体" w:hAnsi="Calibri" w:cs="黑体"/>
      <w:sz w:val="18"/>
      <w:szCs w:val="18"/>
    </w:rPr>
  </w:style>
  <w:style w:type="paragraph" w:styleId="af8">
    <w:name w:val="annotation text"/>
    <w:basedOn w:val="a"/>
    <w:link w:val="16"/>
    <w:unhideWhenUsed/>
    <w:rsid w:val="004A2DCF"/>
    <w:pPr>
      <w:jc w:val="left"/>
    </w:pPr>
  </w:style>
  <w:style w:type="character" w:customStyle="1" w:styleId="16">
    <w:name w:val="批注文字 字符1"/>
    <w:basedOn w:val="a0"/>
    <w:link w:val="af8"/>
    <w:uiPriority w:val="99"/>
    <w:semiHidden/>
    <w:rsid w:val="004A2DCF"/>
    <w:rPr>
      <w:rFonts w:ascii="Calibri" w:eastAsia="宋体" w:hAnsi="Calibri" w:cs="黑体"/>
      <w:szCs w:val="24"/>
    </w:rPr>
  </w:style>
  <w:style w:type="paragraph" w:styleId="af4">
    <w:name w:val="annotation subject"/>
    <w:basedOn w:val="af8"/>
    <w:next w:val="af8"/>
    <w:link w:val="af3"/>
    <w:uiPriority w:val="99"/>
    <w:unhideWhenUsed/>
    <w:rsid w:val="004A2DCF"/>
    <w:rPr>
      <w:rFonts w:eastAsiaTheme="minorEastAsia" w:cstheme="minorBidi"/>
      <w:b/>
      <w:bCs/>
      <w:szCs w:val="22"/>
    </w:rPr>
  </w:style>
  <w:style w:type="character" w:customStyle="1" w:styleId="17">
    <w:name w:val="批注主题 字符1"/>
    <w:basedOn w:val="16"/>
    <w:uiPriority w:val="99"/>
    <w:semiHidden/>
    <w:rsid w:val="004A2DCF"/>
    <w:rPr>
      <w:rFonts w:ascii="Calibri" w:eastAsia="宋体" w:hAnsi="Calibri" w:cs="黑体"/>
      <w:b/>
      <w:bCs/>
      <w:szCs w:val="24"/>
    </w:rPr>
  </w:style>
  <w:style w:type="paragraph" w:styleId="a9">
    <w:name w:val="Date"/>
    <w:basedOn w:val="a"/>
    <w:next w:val="a"/>
    <w:link w:val="a8"/>
    <w:uiPriority w:val="99"/>
    <w:unhideWhenUsed/>
    <w:qFormat/>
    <w:rsid w:val="004A2DCF"/>
    <w:pPr>
      <w:ind w:leftChars="2500" w:left="100"/>
    </w:pPr>
    <w:rPr>
      <w:rFonts w:eastAsiaTheme="minorEastAsia" w:cstheme="minorBidi"/>
      <w:szCs w:val="22"/>
    </w:rPr>
  </w:style>
  <w:style w:type="character" w:customStyle="1" w:styleId="18">
    <w:name w:val="日期 字符1"/>
    <w:basedOn w:val="a0"/>
    <w:uiPriority w:val="99"/>
    <w:semiHidden/>
    <w:rsid w:val="004A2DCF"/>
    <w:rPr>
      <w:rFonts w:ascii="Calibri" w:eastAsia="宋体" w:hAnsi="Calibri" w:cs="黑体"/>
      <w:szCs w:val="24"/>
    </w:rPr>
  </w:style>
  <w:style w:type="paragraph" w:customStyle="1" w:styleId="xl43">
    <w:name w:val="xl43"/>
    <w:basedOn w:val="a"/>
    <w:rsid w:val="004A2DCF"/>
    <w:pPr>
      <w:widowControl/>
      <w:shd w:val="clear" w:color="auto" w:fill="FFFFFF"/>
      <w:spacing w:before="100" w:beforeAutospacing="1" w:after="100" w:afterAutospacing="1"/>
      <w:jc w:val="center"/>
    </w:pPr>
    <w:rPr>
      <w:rFonts w:ascii="黑体" w:eastAsia="黑体" w:hAnsi="宋体" w:cs="Times New Roman" w:hint="eastAsia"/>
      <w:b/>
      <w:bCs/>
      <w:kern w:val="0"/>
      <w:sz w:val="24"/>
    </w:rPr>
  </w:style>
  <w:style w:type="paragraph" w:customStyle="1" w:styleId="xl32">
    <w:name w:val="xl32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customStyle="1" w:styleId="xl36">
    <w:name w:val="xl36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paragraph" w:customStyle="1" w:styleId="xl42">
    <w:name w:val="xl42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paragraph" w:customStyle="1" w:styleId="xl41">
    <w:name w:val="xl41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b/>
      <w:bCs/>
      <w:kern w:val="0"/>
      <w:sz w:val="24"/>
    </w:rPr>
  </w:style>
  <w:style w:type="paragraph" w:customStyle="1" w:styleId="xl39">
    <w:name w:val="xl39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b/>
      <w:bCs/>
      <w:kern w:val="0"/>
      <w:sz w:val="24"/>
    </w:rPr>
  </w:style>
  <w:style w:type="paragraph" w:customStyle="1" w:styleId="xl29">
    <w:name w:val="xl29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Times New Roman" w:hint="eastAsia"/>
      <w:b/>
      <w:bCs/>
      <w:kern w:val="0"/>
      <w:sz w:val="24"/>
    </w:rPr>
  </w:style>
  <w:style w:type="paragraph" w:customStyle="1" w:styleId="xl31">
    <w:name w:val="xl31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customStyle="1" w:styleId="xl28">
    <w:name w:val="xl28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Times New Roman" w:hint="eastAsia"/>
      <w:b/>
      <w:bCs/>
      <w:kern w:val="0"/>
      <w:sz w:val="24"/>
    </w:rPr>
  </w:style>
  <w:style w:type="paragraph" w:customStyle="1" w:styleId="font5">
    <w:name w:val="font5"/>
    <w:basedOn w:val="a"/>
    <w:rsid w:val="004A2DCF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18"/>
      <w:szCs w:val="18"/>
    </w:rPr>
  </w:style>
  <w:style w:type="paragraph" w:styleId="af9">
    <w:name w:val="List Paragraph"/>
    <w:basedOn w:val="a"/>
    <w:uiPriority w:val="34"/>
    <w:qFormat/>
    <w:rsid w:val="004A2DCF"/>
    <w:pPr>
      <w:ind w:firstLineChars="200" w:firstLine="420"/>
    </w:pPr>
    <w:rPr>
      <w:rFonts w:cs="Times New Roman"/>
      <w:szCs w:val="22"/>
    </w:rPr>
  </w:style>
  <w:style w:type="paragraph" w:styleId="afa">
    <w:name w:val="Normal (Web)"/>
    <w:basedOn w:val="a"/>
    <w:uiPriority w:val="99"/>
    <w:unhideWhenUsed/>
    <w:rsid w:val="004A2DCF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2"/>
    </w:rPr>
  </w:style>
  <w:style w:type="paragraph" w:customStyle="1" w:styleId="Char4">
    <w:name w:val="Char"/>
    <w:basedOn w:val="a"/>
    <w:rsid w:val="004A2DCF"/>
  </w:style>
  <w:style w:type="paragraph" w:customStyle="1" w:styleId="xl33">
    <w:name w:val="xl33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Times New Roman" w:hint="eastAsia"/>
      <w:b/>
      <w:bCs/>
      <w:kern w:val="0"/>
      <w:sz w:val="22"/>
      <w:szCs w:val="22"/>
    </w:rPr>
  </w:style>
  <w:style w:type="paragraph" w:customStyle="1" w:styleId="xl27">
    <w:name w:val="xl27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b/>
      <w:bCs/>
      <w:kern w:val="0"/>
      <w:sz w:val="24"/>
    </w:rPr>
  </w:style>
  <w:style w:type="paragraph" w:customStyle="1" w:styleId="xl34">
    <w:name w:val="xl34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b/>
      <w:bCs/>
      <w:kern w:val="0"/>
      <w:sz w:val="24"/>
    </w:rPr>
  </w:style>
  <w:style w:type="paragraph" w:customStyle="1" w:styleId="msonormal0">
    <w:name w:val="msonormal"/>
    <w:basedOn w:val="a"/>
    <w:uiPriority w:val="99"/>
    <w:rsid w:val="004A2DCF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2"/>
    </w:rPr>
  </w:style>
  <w:style w:type="paragraph" w:styleId="z-3">
    <w:name w:val="HTML Bottom of Form"/>
    <w:basedOn w:val="a"/>
    <w:next w:val="a"/>
    <w:link w:val="z-10"/>
    <w:rsid w:val="004A2DCF"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1">
    <w:name w:val="z-窗体底端 字符2"/>
    <w:basedOn w:val="a0"/>
    <w:uiPriority w:val="99"/>
    <w:semiHidden/>
    <w:rsid w:val="004A2DCF"/>
    <w:rPr>
      <w:rFonts w:ascii="Arial" w:eastAsia="宋体" w:hAnsi="Arial" w:cs="Arial"/>
      <w:vanish/>
      <w:sz w:val="16"/>
      <w:szCs w:val="16"/>
    </w:rPr>
  </w:style>
  <w:style w:type="paragraph" w:customStyle="1" w:styleId="xl25">
    <w:name w:val="xl25"/>
    <w:basedOn w:val="a"/>
    <w:rsid w:val="004A2DCF"/>
    <w:pPr>
      <w:widowControl/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paragraph" w:customStyle="1" w:styleId="xl30">
    <w:name w:val="xl30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b/>
      <w:bCs/>
      <w:kern w:val="0"/>
      <w:sz w:val="24"/>
    </w:rPr>
  </w:style>
  <w:style w:type="paragraph" w:styleId="afb">
    <w:name w:val="Revision"/>
    <w:uiPriority w:val="99"/>
    <w:semiHidden/>
    <w:rsid w:val="004A2DCF"/>
    <w:rPr>
      <w:rFonts w:ascii="Calibri" w:eastAsia="宋体" w:hAnsi="Calibri" w:cs="Times New Roman"/>
    </w:rPr>
  </w:style>
  <w:style w:type="paragraph" w:customStyle="1" w:styleId="xl26">
    <w:name w:val="xl26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黑体" w:eastAsia="黑体" w:hAnsi="宋体" w:cs="Times New Roman" w:hint="eastAsia"/>
      <w:b/>
      <w:bCs/>
      <w:kern w:val="0"/>
      <w:sz w:val="24"/>
    </w:rPr>
  </w:style>
  <w:style w:type="paragraph" w:customStyle="1" w:styleId="xl40">
    <w:name w:val="xl40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  <w:style w:type="paragraph" w:customStyle="1" w:styleId="xl24">
    <w:name w:val="xl24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paragraph" w:customStyle="1" w:styleId="xl38">
    <w:name w:val="xl38"/>
    <w:basedOn w:val="a"/>
    <w:rsid w:val="004A2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2019-11-22T08:55:00Z</dcterms:created>
  <dcterms:modified xsi:type="dcterms:W3CDTF">2019-11-22T08:56:00Z</dcterms:modified>
</cp:coreProperties>
</file>