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文化和旅游部关于进一步优化营商环境  推动互联网上网服务行业规范发展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落实“放管服”改革要求，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持续开展互联网上网服务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“证照分离”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，应对新冠肺炎疫情对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互联网上网服务行业（以下简称“上网服务行业”）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冲击，增强互联网上网服务营业场所（以下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</w:t>
      </w:r>
      <w:r>
        <w:rPr>
          <w:rFonts w:hint="eastAsia" w:ascii="仿宋_GB2312" w:hAnsi="仿宋_GB2312" w:eastAsia="仿宋_GB2312" w:cs="仿宋_GB2312"/>
          <w:sz w:val="32"/>
          <w:szCs w:val="32"/>
        </w:rPr>
        <w:t>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上网服务场所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发展内生动力，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行业转型升级，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推动行业规范发展，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我部研究制定了《文化和旅游部关于进一步优化营商环境  推动互联网上网服务行业规范发展的通知》（以下简称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《通知》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），现将有关情况说明如下。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起草背景及过程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近年来，各地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多措并举不断推进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上网服务行业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转型升级</w:t>
      </w:r>
      <w:r>
        <w:rPr>
          <w:rFonts w:hint="eastAsia" w:ascii="仿宋_GB2312" w:hAnsi="仿宋_GB2312" w:eastAsia="仿宋_GB2312" w:cs="仿宋_GB2312"/>
          <w:sz w:val="32"/>
          <w:szCs w:val="32"/>
        </w:rPr>
        <w:t>，上网服务场所经营秩序普遍好转，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行业面貌得到明显改善。</w:t>
      </w:r>
      <w:r>
        <w:rPr>
          <w:rFonts w:hint="eastAsia" w:ascii="仿宋_GB2312" w:hAnsi="仿宋_GB2312" w:eastAsia="仿宋_GB2312" w:cs="仿宋_GB2312"/>
          <w:sz w:val="32"/>
          <w:szCs w:val="32"/>
        </w:rPr>
        <w:t>但是也要看到，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上网服务行业中还</w:t>
      </w:r>
      <w:r>
        <w:rPr>
          <w:rFonts w:hint="eastAsia" w:ascii="仿宋_GB2312" w:hAnsi="仿宋_GB2312" w:eastAsia="仿宋_GB2312" w:cs="仿宋_GB2312"/>
          <w:sz w:val="32"/>
          <w:szCs w:val="32"/>
        </w:rPr>
        <w:t>面临一些问题，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如外商投资准入政策有待落地完善，个别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违规接纳未成年人</w:t>
      </w:r>
      <w:r>
        <w:rPr>
          <w:rFonts w:hint="eastAsia" w:ascii="仿宋_GB2312" w:hAnsi="仿宋_GB2312" w:eastAsia="仿宋_GB2312" w:cs="仿宋_GB2312"/>
          <w:sz w:val="32"/>
          <w:szCs w:val="32"/>
        </w:rPr>
        <w:t>屡禁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不止，部分“僵尸”企业不主动注销导致新设立场所无法在同一地址办理许可证等，</w:t>
      </w:r>
      <w:r>
        <w:rPr>
          <w:rFonts w:hint="eastAsia" w:ascii="仿宋_GB2312" w:hAnsi="仿宋_GB2312" w:eastAsia="仿宋_GB2312" w:cs="仿宋_GB2312"/>
          <w:sz w:val="32"/>
          <w:szCs w:val="32"/>
        </w:rPr>
        <w:t>这些都影响了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的高质量发展。特别是新冠肺炎疫情发生以来，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上网服务行业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一度陷入停滞，一方面市场全面复苏面临诸多困难，另一方面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传统上网服务场所的停摆</w:t>
      </w:r>
      <w:r>
        <w:rPr>
          <w:rFonts w:hint="eastAsia" w:ascii="仿宋_GB2312" w:hAnsi="仿宋_GB2312" w:eastAsia="仿宋_GB2312" w:cs="仿宋_GB2312"/>
          <w:sz w:val="32"/>
          <w:szCs w:val="32"/>
        </w:rPr>
        <w:t>催生了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新兴的综合性上网服务场所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蓬勃发展，对行业管理提出新的要求。针对上述问题，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《通知》（征求意见稿）以深化上网服务行业“放管服”改革，优化营商环境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切入点，针对桎梏行业发展的根本问题，提出完善准入政策、规范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新业态发展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、加强事中事后监管等一系列举措，深化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上网服务行业转型升级，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推动上网服务行业规范发展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2019年下半年，文化和旅游部即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就上网服务行业现状，“电竞酒店”等综合性上网服务场所、自助式上网服务场所等新兴业态开展了专题调研，召开了部分相关企业、行业协会、文化和旅游行政部门、文化市场综合执法机构等参与的座谈会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。《通知》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草稿</w:t>
      </w:r>
      <w:r>
        <w:rPr>
          <w:rFonts w:hint="eastAsia" w:ascii="仿宋_GB2312" w:hAnsi="仿宋_GB2312" w:eastAsia="仿宋_GB2312" w:cs="仿宋_GB2312"/>
          <w:sz w:val="32"/>
          <w:szCs w:val="32"/>
        </w:rPr>
        <w:t>征求并吸收了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及相关部委司局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最终形成了本《通知》（征求意见稿）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>二、主要内容说明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（征求意见稿）针对目前上网服务行业中存在的问题，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从完善准入政策、规范新业态发展、深入推进上网服务行业转型升级、加大事中事后监管力度、做好组织实施等五个方面加以规范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完善准入政策方面，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落实“</w:t>
      </w:r>
      <w:r>
        <w:rPr>
          <w:rFonts w:hint="eastAsia" w:ascii="仿宋_GB2312" w:hAnsi="仿宋_GB2312" w:eastAsia="仿宋_GB2312" w:cs="仿宋_GB2312"/>
          <w:sz w:val="32"/>
          <w:szCs w:val="32"/>
        </w:rPr>
        <w:t>放管服”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改革要求，推进上网服务行业“证照分离”改革，优化准入服务，再次明确取消上网服务场所总量限制和布局要求，取消申请人资金信用证明等材料，进一步压缩审批时间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提高审批效率。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落实外商投资、港澳台投资准入政策，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国务院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允许外国投资者及港澳台投资者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在全国范围设立上网服务场所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，明确审批层级和设立条件等。巩固扩大长效机制试点成效，明确可以动态调整试点地区、范围及政策，完善长效管理机制，允许试点地区取消筹建环节等。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规范新业态发展方面，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坚持包容审慎监管的理念，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鼓励</w:t>
      </w:r>
      <w:r>
        <w:rPr>
          <w:rFonts w:hint="eastAsia" w:ascii="仿宋_GB2312" w:hAnsi="仿宋_GB2312" w:eastAsia="仿宋_GB2312" w:cs="仿宋_GB2312"/>
          <w:sz w:val="32"/>
          <w:szCs w:val="32"/>
        </w:rPr>
        <w:t>上网服务场所丰富经营业态。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以提供上网服务为主营业务的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综合性上网服务场所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应当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取得《网络文化经营许可证》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安装经营管理技术措施并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采取未成年人保护措施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，落实未成年人保护职责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。明确自助式上网服务场所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实施备案管理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，要求符合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《互联网上网服务营业场所管理条例》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及国家有关消防安全、城市管理、网络安全等相关规定，采取人脸识别等技术措施，落实实名认证等要求。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推进行业转型升级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鼓励上网服务场所提供更丰富的公共文化服务，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鼓励各地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探索制定关于政府向社会力量购买公共文化服务的实施细则，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要求各地推进场所服务等级评定国家标准落地实施，并与分级分类执法监管、政府购买公共文化服务、电子商务合作以及开展电子竞技培训和比赛等相结合。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加大事中事后监管力度方面，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要求全面排查无证经营行为，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对缺乏基本设立条件尤其是安全状况恶劣的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，要会同公安等部门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进一步加强对上网服务场所的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监督管理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，持续开展“双随机、一公开”监管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。落实未成年人保护职责。上网服务营业场所确已不再继续经营，且未按《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互联网上网服务营业场所管理条例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》要求履行相关手续的，管理部门公告后可吊销其《网络文化经营许可证》，并通报相关部门。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强化组织保障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方面，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各级文化和旅游行政部门加强与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宣传、公安、市场监管、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电信</w:t>
      </w:r>
      <w:r>
        <w:rPr>
          <w:rFonts w:hint="eastAsia" w:ascii="仿宋_GB2312" w:hAnsi="仿宋_GB2312" w:eastAsia="仿宋_GB2312" w:cs="仿宋_GB2312"/>
          <w:sz w:val="32"/>
          <w:szCs w:val="32"/>
        </w:rPr>
        <w:t>等部门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和消防救援机构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的沟通协调，加强协同监管。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落实《全国文化市场黑名单管理办法》，实施信用约束，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推进信用信息平台建设，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提高监管效能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推进行业协会建设，在培训、标准化建设及数据监测等方面发挥积极作用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特此说明。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587" w:bottom="1701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54EDB"/>
    <w:rsid w:val="0DE54EDB"/>
    <w:rsid w:val="737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2020-10-26T06:57:00Z</dcterms:created>
  <dc:creator>马思伟</dc:creator>
  <cp:lastModifiedBy>MSW</cp:lastModifiedBy>
  <dcterms:modified xsi:type="dcterms:W3CDTF">2022-09-27T03:41:45Z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