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西藏、新疆基层文艺骨干学历能力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 w:eastAsia="zh-CN"/>
        </w:rPr>
        <w:t>“</w:t>
      </w:r>
      <w:r>
        <w:rPr>
          <w:rFonts w:hint="eastAsia" w:ascii="方正小标宋简体" w:hAnsi="方正小标宋简体" w:eastAsia="方正小标宋简体" w:cs="方正小标宋简体"/>
          <w:color w:val="auto"/>
          <w:sz w:val="44"/>
          <w:szCs w:val="44"/>
          <w:highlight w:val="none"/>
          <w:lang w:val="en-US" w:eastAsia="zh-CN"/>
        </w:rPr>
        <w:t>双提升</w:t>
      </w:r>
      <w:r>
        <w:rPr>
          <w:rFonts w:hint="eastAsia" w:ascii="方正小标宋简体" w:hAnsi="方正小标宋简体" w:eastAsia="方正小标宋简体" w:cs="方正小标宋简体"/>
          <w:color w:val="auto"/>
          <w:sz w:val="44"/>
          <w:szCs w:val="44"/>
          <w:highlight w:val="none"/>
          <w:lang w:val="en" w:eastAsia="zh-CN"/>
        </w:rPr>
        <w:t>”</w:t>
      </w:r>
      <w:r>
        <w:rPr>
          <w:rFonts w:hint="eastAsia" w:ascii="方正小标宋简体" w:hAnsi="方正小标宋简体" w:eastAsia="方正小标宋简体" w:cs="方正小标宋简体"/>
          <w:color w:val="auto"/>
          <w:sz w:val="44"/>
          <w:szCs w:val="44"/>
          <w:highlight w:val="none"/>
          <w:lang w:val="en-US" w:eastAsia="zh-CN"/>
        </w:rPr>
        <w:t>计划实施方案</w:t>
      </w:r>
    </w:p>
    <w:p>
      <w:pPr>
        <w:numPr>
          <w:ilvl w:val="0"/>
          <w:numId w:val="0"/>
        </w:numPr>
        <w:ind w:right="0" w:rightChars="0" w:firstLine="640" w:firstLineChars="200"/>
        <w:jc w:val="both"/>
        <w:rPr>
          <w:rFonts w:hint="default" w:ascii="方正仿宋_GBK" w:hAnsi="方正仿宋_GBK" w:eastAsia="方正仿宋_GBK" w:cs="方正仿宋_GBK"/>
          <w:color w:val="auto"/>
          <w:sz w:val="32"/>
          <w:szCs w:val="32"/>
          <w:highlight w:val="none"/>
          <w:lang w:val="en" w:eastAsia="zh-CN"/>
        </w:rPr>
      </w:pPr>
    </w:p>
    <w:p>
      <w:pPr>
        <w:numPr>
          <w:ilvl w:val="0"/>
          <w:numId w:val="0"/>
        </w:numPr>
        <w:ind w:right="0" w:rightChars="0" w:firstLine="640" w:firstLineChars="200"/>
        <w:jc w:val="both"/>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lang w:val="en" w:eastAsia="zh-CN"/>
        </w:rPr>
        <w:t>西藏、新疆基层文艺骨干学历能力“双提升”计划（以下简称“双提升计划”）是文化和旅游部面向西藏自治区、新疆维吾尔自治区和新疆生产建设兵团基层文艺工作者组织实施的继续教育项目。为保证计划有序开展，制定本方案。</w:t>
      </w:r>
    </w:p>
    <w:p>
      <w:pPr>
        <w:numPr>
          <w:ilvl w:val="0"/>
          <w:numId w:val="1"/>
        </w:numPr>
        <w:ind w:left="0" w:leftChars="0" w:right="0" w:rightChars="0" w:firstLine="640" w:firstLineChars="200"/>
        <w:jc w:val="both"/>
        <w:rPr>
          <w:rFonts w:hint="eastAsia" w:ascii="黑体" w:hAnsi="黑体" w:eastAsia="黑体" w:cs="黑体"/>
          <w:color w:val="auto"/>
          <w:sz w:val="32"/>
          <w:szCs w:val="32"/>
          <w:highlight w:val="none"/>
          <w:lang w:val="en" w:eastAsia="zh-CN"/>
        </w:rPr>
      </w:pPr>
      <w:r>
        <w:rPr>
          <w:rFonts w:hint="eastAsia" w:ascii="黑体" w:hAnsi="黑体" w:eastAsia="黑体" w:cs="黑体"/>
          <w:color w:val="auto"/>
          <w:sz w:val="32"/>
          <w:szCs w:val="32"/>
          <w:highlight w:val="none"/>
          <w:lang w:val="en" w:eastAsia="zh-CN"/>
        </w:rPr>
        <w:t>指导思想</w:t>
      </w:r>
    </w:p>
    <w:p>
      <w:pPr>
        <w:numPr>
          <w:ilvl w:val="0"/>
          <w:numId w:val="0"/>
        </w:numPr>
        <w:ind w:right="0" w:rightChars="0" w:firstLine="640" w:firstLineChars="200"/>
        <w:jc w:val="both"/>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lang w:val="en" w:eastAsia="zh-CN"/>
        </w:rPr>
        <w:t>以习近平新时代中国特色社会主义思想为指导，贯彻党的十九大和十九届历次全会精神，贯彻党的文艺方针和民族工作方针政策，紧紧围绕社会主义文化强国建设，大力弘扬社会主义核心价值观，传承和弘扬中华优秀传统文化，铸牢中华民族共同体意识。</w:t>
      </w:r>
    </w:p>
    <w:p>
      <w:pPr>
        <w:numPr>
          <w:ilvl w:val="0"/>
          <w:numId w:val="0"/>
        </w:numPr>
        <w:ind w:left="0" w:leftChars="0" w:right="0" w:rightChars="0" w:firstLine="640" w:firstLineChars="200"/>
        <w:jc w:val="both"/>
        <w:rPr>
          <w:rFonts w:hint="eastAsia" w:ascii="黑体" w:hAnsi="黑体" w:eastAsia="黑体" w:cs="黑体"/>
          <w:color w:val="auto"/>
          <w:sz w:val="32"/>
          <w:szCs w:val="32"/>
          <w:highlight w:val="none"/>
          <w:lang w:val="en" w:eastAsia="zh-CN"/>
        </w:rPr>
      </w:pPr>
      <w:r>
        <w:rPr>
          <w:rFonts w:hint="eastAsia" w:ascii="黑体" w:hAnsi="黑体" w:eastAsia="黑体" w:cs="黑体"/>
          <w:color w:val="auto"/>
          <w:sz w:val="32"/>
          <w:szCs w:val="32"/>
          <w:highlight w:val="none"/>
          <w:lang w:val="en" w:eastAsia="zh-CN"/>
        </w:rPr>
        <w:t>二、宗旨目标</w:t>
      </w:r>
    </w:p>
    <w:p>
      <w:pPr>
        <w:numPr>
          <w:ilvl w:val="0"/>
          <w:numId w:val="0"/>
        </w:numPr>
        <w:ind w:right="0" w:rightChars="0" w:firstLine="640" w:firstLineChars="200"/>
        <w:jc w:val="both"/>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lang w:val="en" w:eastAsia="zh-CN"/>
        </w:rPr>
        <w:t>聚焦西藏、新疆基层文艺人才需求，遵循艺术教育和文艺人才成长规律，充分调动文化和旅游部共建院校等优质教育资源，</w:t>
      </w:r>
      <w:r>
        <w:rPr>
          <w:rFonts w:hint="eastAsia" w:ascii="仿宋_GB2312" w:hAnsi="仿宋_GB2312" w:eastAsia="仿宋_GB2312" w:cs="仿宋_GB2312"/>
          <w:i w:val="0"/>
          <w:caps w:val="0"/>
          <w:color w:val="auto"/>
          <w:spacing w:val="0"/>
          <w:kern w:val="2"/>
          <w:sz w:val="32"/>
          <w:szCs w:val="32"/>
          <w:highlight w:val="none"/>
          <w:shd w:val="clear" w:color="auto" w:fill="auto"/>
          <w:lang w:val="en" w:eastAsia="zh-CN" w:bidi="ar"/>
        </w:rPr>
        <w:t>为当地基层文艺骨干提供</w:t>
      </w:r>
      <w:r>
        <w:rPr>
          <w:rFonts w:hint="eastAsia" w:ascii="仿宋_GB2312" w:hAnsi="仿宋_GB2312" w:eastAsia="仿宋_GB2312" w:cs="仿宋_GB2312"/>
          <w:color w:val="auto"/>
          <w:sz w:val="32"/>
          <w:szCs w:val="32"/>
          <w:highlight w:val="none"/>
          <w:lang w:val="en" w:eastAsia="zh-CN"/>
        </w:rPr>
        <w:t>学历和专业能力双提升的通道，激发基层人才活力，</w:t>
      </w:r>
      <w:r>
        <w:rPr>
          <w:rFonts w:hint="eastAsia" w:ascii="仿宋_GB2312" w:hAnsi="仿宋_GB2312" w:eastAsia="仿宋_GB2312" w:cs="仿宋_GB2312"/>
          <w:i w:val="0"/>
          <w:caps w:val="0"/>
          <w:color w:val="auto"/>
          <w:spacing w:val="0"/>
          <w:kern w:val="2"/>
          <w:sz w:val="32"/>
          <w:szCs w:val="32"/>
          <w:highlight w:val="none"/>
          <w:shd w:val="clear" w:color="auto" w:fill="auto"/>
          <w:lang w:val="en" w:eastAsia="zh-CN" w:bidi="ar"/>
        </w:rPr>
        <w:t>营造干事创业的良好氛围</w:t>
      </w:r>
      <w:r>
        <w:rPr>
          <w:rFonts w:hint="eastAsia" w:ascii="仿宋_GB2312" w:hAnsi="仿宋_GB2312" w:eastAsia="仿宋_GB2312" w:cs="仿宋_GB2312"/>
          <w:color w:val="auto"/>
          <w:sz w:val="32"/>
          <w:szCs w:val="32"/>
          <w:highlight w:val="none"/>
          <w:lang w:val="en" w:eastAsia="zh-CN"/>
        </w:rPr>
        <w:t>。</w:t>
      </w:r>
    </w:p>
    <w:p>
      <w:pPr>
        <w:numPr>
          <w:ilvl w:val="0"/>
          <w:numId w:val="0"/>
        </w:numPr>
        <w:ind w:left="0" w:leftChars="0" w:right="0" w:rightChars="0" w:firstLine="640" w:firstLineChars="200"/>
        <w:jc w:val="both"/>
        <w:rPr>
          <w:rFonts w:hint="eastAsia" w:ascii="黑体" w:hAnsi="黑体" w:eastAsia="黑体" w:cs="黑体"/>
          <w:color w:val="auto"/>
          <w:sz w:val="32"/>
          <w:szCs w:val="32"/>
          <w:highlight w:val="none"/>
          <w:lang w:val="en" w:eastAsia="zh-CN"/>
        </w:rPr>
      </w:pPr>
      <w:r>
        <w:rPr>
          <w:rFonts w:hint="eastAsia" w:ascii="黑体" w:hAnsi="黑体" w:eastAsia="黑体" w:cs="黑体"/>
          <w:color w:val="auto"/>
          <w:sz w:val="32"/>
          <w:szCs w:val="32"/>
          <w:highlight w:val="none"/>
          <w:lang w:val="en" w:eastAsia="zh-CN"/>
        </w:rPr>
        <w:t>三、主要内容</w:t>
      </w:r>
    </w:p>
    <w:p>
      <w:pPr>
        <w:numPr>
          <w:ilvl w:val="0"/>
          <w:numId w:val="0"/>
        </w:numPr>
        <w:ind w:right="0" w:rightChars="0" w:firstLine="640" w:firstLineChars="200"/>
        <w:jc w:val="both"/>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lang w:val="en" w:eastAsia="zh-CN"/>
        </w:rPr>
        <w:t>支持、引导文化和旅游部共建院校、国家开放大学等面向西藏、新疆两地基层文艺院团、文化企事业单位相关业务骨干开展的高起专、专升本的成人学历继续教育项目，重点加强对基层中青年艺术工作者的扶持，实现学历和专业能力双提升。根据两地实际需求，“十四五”期间，“双提升计划”主要开设艺术类专业为</w:t>
      </w:r>
      <w:r>
        <w:rPr>
          <w:rFonts w:hint="eastAsia" w:ascii="仿宋_GB2312" w:hAnsi="仿宋_GB2312" w:eastAsia="仿宋_GB2312" w:cs="仿宋_GB2312"/>
          <w:b w:val="0"/>
          <w:bCs w:val="0"/>
          <w:color w:val="auto"/>
          <w:sz w:val="32"/>
          <w:szCs w:val="32"/>
          <w:highlight w:val="none"/>
          <w:lang w:val="en" w:eastAsia="zh-CN"/>
        </w:rPr>
        <w:t>舞蹈表演（表教合一）</w:t>
      </w:r>
      <w:r>
        <w:rPr>
          <w:rFonts w:hint="eastAsia" w:ascii="仿宋_GB2312" w:hAnsi="仿宋_GB2312" w:eastAsia="仿宋_GB2312" w:cs="仿宋_GB2312"/>
          <w:color w:val="auto"/>
          <w:sz w:val="32"/>
          <w:szCs w:val="32"/>
          <w:highlight w:val="none"/>
          <w:lang w:val="en" w:eastAsia="zh-CN"/>
        </w:rPr>
        <w:t>专业（</w:t>
      </w:r>
      <w:r>
        <w:rPr>
          <w:rFonts w:hint="eastAsia" w:ascii="仿宋_GB2312" w:hAnsi="仿宋_GB2312" w:eastAsia="仿宋_GB2312" w:cs="仿宋_GB2312"/>
          <w:b w:val="0"/>
          <w:bCs w:val="0"/>
          <w:color w:val="auto"/>
          <w:sz w:val="32"/>
          <w:szCs w:val="32"/>
          <w:highlight w:val="none"/>
          <w:lang w:val="en" w:eastAsia="zh-CN"/>
        </w:rPr>
        <w:t>专升本</w:t>
      </w:r>
      <w:r>
        <w:rPr>
          <w:rFonts w:hint="eastAsia" w:ascii="仿宋_GB2312" w:hAnsi="仿宋_GB2312" w:eastAsia="仿宋_GB2312" w:cs="仿宋_GB2312"/>
          <w:color w:val="auto"/>
          <w:sz w:val="32"/>
          <w:szCs w:val="32"/>
          <w:highlight w:val="none"/>
          <w:lang w:val="en" w:eastAsia="zh-CN"/>
        </w:rPr>
        <w:t>），此外还将依托国家开放大学远程教育优势开设若干管理类、设计类等基础性专业（高起专、专升本）。</w:t>
      </w:r>
    </w:p>
    <w:p>
      <w:pPr>
        <w:numPr>
          <w:ilvl w:val="0"/>
          <w:numId w:val="0"/>
        </w:numPr>
        <w:ind w:left="0" w:leftChars="0" w:right="0" w:rightChars="0" w:firstLine="640" w:firstLineChars="200"/>
        <w:jc w:val="both"/>
        <w:rPr>
          <w:rFonts w:hint="eastAsia" w:ascii="黑体" w:hAnsi="黑体" w:eastAsia="黑体" w:cs="黑体"/>
          <w:color w:val="auto"/>
          <w:sz w:val="32"/>
          <w:szCs w:val="32"/>
          <w:highlight w:val="none"/>
          <w:lang w:val="en" w:eastAsia="zh-CN"/>
        </w:rPr>
      </w:pPr>
      <w:r>
        <w:rPr>
          <w:rFonts w:hint="eastAsia" w:ascii="黑体" w:hAnsi="黑体" w:eastAsia="黑体" w:cs="黑体"/>
          <w:color w:val="auto"/>
          <w:sz w:val="32"/>
          <w:szCs w:val="32"/>
          <w:highlight w:val="none"/>
          <w:lang w:val="en" w:eastAsia="zh-CN"/>
        </w:rPr>
        <w:t>四、实施方式</w:t>
      </w:r>
    </w:p>
    <w:p>
      <w:pPr>
        <w:numPr>
          <w:ilvl w:val="0"/>
          <w:numId w:val="0"/>
        </w:numPr>
        <w:ind w:left="420" w:leftChars="200" w:right="0" w:rightChars="0" w:firstLine="0" w:firstLineChars="0"/>
        <w:jc w:val="both"/>
        <w:rPr>
          <w:rFonts w:hint="eastAsia" w:ascii="楷体_GB2312" w:hAnsi="楷体_GB2312" w:eastAsia="楷体_GB2312" w:cs="楷体_GB2312"/>
          <w:b w:val="0"/>
          <w:bCs w:val="0"/>
          <w:color w:val="auto"/>
          <w:sz w:val="32"/>
          <w:szCs w:val="32"/>
          <w:highlight w:val="none"/>
          <w:lang w:val="en" w:eastAsia="zh-CN"/>
        </w:rPr>
      </w:pPr>
      <w:r>
        <w:rPr>
          <w:rFonts w:hint="eastAsia" w:ascii="楷体_GB2312" w:hAnsi="楷体_GB2312" w:eastAsia="楷体_GB2312" w:cs="楷体_GB2312"/>
          <w:b w:val="0"/>
          <w:bCs w:val="0"/>
          <w:color w:val="auto"/>
          <w:sz w:val="32"/>
          <w:szCs w:val="32"/>
          <w:highlight w:val="none"/>
          <w:lang w:val="en" w:eastAsia="zh-CN"/>
        </w:rPr>
        <w:t>（一）</w:t>
      </w:r>
      <w:r>
        <w:rPr>
          <w:rFonts w:hint="eastAsia" w:ascii="楷体_GB2312" w:hAnsi="楷体_GB2312" w:eastAsia="楷体_GB2312" w:cs="楷体_GB2312"/>
          <w:b w:val="0"/>
          <w:bCs w:val="0"/>
          <w:color w:val="auto"/>
          <w:sz w:val="32"/>
          <w:szCs w:val="32"/>
          <w:highlight w:val="none"/>
          <w:lang w:val="en-US" w:eastAsia="zh-CN"/>
        </w:rPr>
        <w:t>北京舞蹈学院</w:t>
      </w:r>
      <w:r>
        <w:rPr>
          <w:rFonts w:hint="eastAsia" w:ascii="楷体_GB2312" w:hAnsi="楷体_GB2312" w:eastAsia="楷体_GB2312" w:cs="楷体_GB2312"/>
          <w:b w:val="0"/>
          <w:bCs w:val="0"/>
          <w:color w:val="auto"/>
          <w:sz w:val="32"/>
          <w:szCs w:val="32"/>
          <w:highlight w:val="none"/>
          <w:lang w:val="en" w:eastAsia="zh-CN"/>
        </w:rPr>
        <w:t>舞蹈表演</w:t>
      </w:r>
      <w:r>
        <w:rPr>
          <w:rFonts w:hint="eastAsia" w:ascii="楷体_GB2312" w:hAnsi="楷体_GB2312" w:eastAsia="楷体_GB2312" w:cs="楷体_GB2312"/>
          <w:b w:val="0"/>
          <w:bCs w:val="0"/>
          <w:color w:val="auto"/>
          <w:sz w:val="32"/>
          <w:szCs w:val="32"/>
          <w:highlight w:val="none"/>
          <w:lang w:val="en-US" w:eastAsia="zh-CN"/>
        </w:rPr>
        <w:t>（表教合一）</w:t>
      </w:r>
      <w:r>
        <w:rPr>
          <w:rFonts w:hint="eastAsia" w:ascii="楷体_GB2312" w:hAnsi="楷体_GB2312" w:eastAsia="楷体_GB2312" w:cs="楷体_GB2312"/>
          <w:b w:val="0"/>
          <w:bCs w:val="0"/>
          <w:color w:val="auto"/>
          <w:sz w:val="32"/>
          <w:szCs w:val="32"/>
          <w:highlight w:val="none"/>
          <w:lang w:val="en" w:eastAsia="zh-CN"/>
        </w:rPr>
        <w:t>专业“专升本”</w:t>
      </w:r>
    </w:p>
    <w:p>
      <w:pPr>
        <w:numPr>
          <w:ilvl w:val="0"/>
          <w:numId w:val="0"/>
        </w:numPr>
        <w:ind w:right="0" w:rightChars="0"/>
        <w:jc w:val="both"/>
        <w:rPr>
          <w:rFonts w:hint="eastAsia" w:ascii="楷体_GB2312" w:hAnsi="楷体_GB2312" w:eastAsia="楷体_GB2312" w:cs="楷体_GB2312"/>
          <w:b w:val="0"/>
          <w:bCs w:val="0"/>
          <w:color w:val="auto"/>
          <w:sz w:val="32"/>
          <w:szCs w:val="32"/>
          <w:highlight w:val="none"/>
          <w:lang w:val="en" w:eastAsia="zh-CN"/>
        </w:rPr>
      </w:pPr>
      <w:r>
        <w:rPr>
          <w:rFonts w:hint="eastAsia" w:ascii="楷体_GB2312" w:hAnsi="楷体_GB2312" w:eastAsia="楷体_GB2312" w:cs="楷体_GB2312"/>
          <w:b w:val="0"/>
          <w:bCs w:val="0"/>
          <w:color w:val="auto"/>
          <w:sz w:val="32"/>
          <w:szCs w:val="32"/>
          <w:highlight w:val="none"/>
          <w:lang w:val="en" w:eastAsia="zh-CN"/>
        </w:rPr>
        <w:t>项目</w:t>
      </w:r>
    </w:p>
    <w:p>
      <w:pPr>
        <w:widowControl w:val="0"/>
        <w:numPr>
          <w:ilvl w:val="0"/>
          <w:numId w:val="0"/>
        </w:numPr>
        <w:ind w:right="0" w:rightChars="0" w:firstLine="640" w:firstLineChars="20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1.招生规模和范围</w:t>
      </w:r>
    </w:p>
    <w:p>
      <w:pPr>
        <w:widowControl w:val="0"/>
        <w:numPr>
          <w:ilvl w:val="0"/>
          <w:numId w:val="0"/>
        </w:numPr>
        <w:ind w:right="0" w:rightChars="0" w:firstLine="642" w:firstLineChars="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2022年至2024年，每年面向</w:t>
      </w:r>
      <w:r>
        <w:rPr>
          <w:rFonts w:hint="eastAsia" w:ascii="仿宋_GB2312" w:hAnsi="仿宋_GB2312" w:eastAsia="仿宋_GB2312" w:cs="仿宋_GB2312"/>
          <w:color w:val="auto"/>
          <w:sz w:val="32"/>
          <w:szCs w:val="32"/>
          <w:highlight w:val="none"/>
          <w:lang w:val="en" w:eastAsia="zh-CN"/>
        </w:rPr>
        <w:t>西藏自治区、新疆维吾尔自治区和新疆生产建设兵团</w:t>
      </w:r>
      <w:r>
        <w:rPr>
          <w:rFonts w:hint="eastAsia" w:ascii="仿宋_GB2312" w:hAnsi="仿宋_GB2312" w:eastAsia="仿宋_GB2312" w:cs="仿宋_GB2312"/>
          <w:b w:val="0"/>
          <w:bCs w:val="0"/>
          <w:color w:val="auto"/>
          <w:sz w:val="32"/>
          <w:szCs w:val="32"/>
          <w:highlight w:val="none"/>
          <w:lang w:val="en-US" w:eastAsia="zh-CN"/>
        </w:rPr>
        <w:t>基层文艺院团、文化企事业单位在职舞蹈专业人员分别招收“舞蹈表演（表教合一）”专业的专升本学历班，每年3个班，每个班20—30人。3年共招生200人左右。报考人员原则上不超过35周岁</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lang w:val="en-US" w:eastAsia="zh-CN"/>
        </w:rPr>
        <w:t>应取得大专学历，</w:t>
      </w:r>
      <w:r>
        <w:rPr>
          <w:rFonts w:hint="eastAsia" w:ascii="仿宋_GB2312" w:hAnsi="仿宋_GB2312" w:eastAsia="仿宋_GB2312" w:cs="仿宋_GB2312"/>
          <w:b w:val="0"/>
          <w:bCs w:val="0"/>
          <w:color w:val="auto"/>
          <w:sz w:val="32"/>
          <w:szCs w:val="32"/>
          <w:highlight w:val="none"/>
          <w:u w:val="none"/>
          <w:lang w:val="en-US" w:eastAsia="zh-CN"/>
        </w:rPr>
        <w:t>具备扎实的舞蹈专业基本功基础，</w:t>
      </w:r>
      <w:r>
        <w:rPr>
          <w:rFonts w:hint="eastAsia" w:ascii="仿宋_GB2312" w:hAnsi="仿宋_GB2312" w:eastAsia="仿宋_GB2312" w:cs="仿宋_GB2312"/>
          <w:b w:val="0"/>
          <w:bCs w:val="0"/>
          <w:color w:val="auto"/>
          <w:sz w:val="32"/>
          <w:szCs w:val="32"/>
          <w:highlight w:val="none"/>
          <w:lang w:val="en-US" w:eastAsia="zh-CN"/>
        </w:rPr>
        <w:t>具备3年以上基层文艺演出工作经历和一定的艺术实践经验。</w:t>
      </w:r>
    </w:p>
    <w:p>
      <w:pPr>
        <w:widowControl w:val="0"/>
        <w:numPr>
          <w:ilvl w:val="0"/>
          <w:numId w:val="0"/>
        </w:numPr>
        <w:ind w:right="0" w:rightChars="0" w:firstLine="640" w:firstLineChars="20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2.招生方式</w:t>
      </w:r>
    </w:p>
    <w:p>
      <w:pPr>
        <w:widowControl w:val="0"/>
        <w:numPr>
          <w:ilvl w:val="0"/>
          <w:numId w:val="0"/>
        </w:numPr>
        <w:ind w:right="0" w:rightChars="0" w:firstLine="640" w:firstLineChars="20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由西藏自治区文化厅、新疆维吾尔自治区文化和旅游厅、</w:t>
      </w:r>
      <w:r>
        <w:rPr>
          <w:rFonts w:hint="eastAsia" w:ascii="仿宋_GB2312" w:hAnsi="仿宋_GB2312" w:eastAsia="仿宋_GB2312" w:cs="仿宋_GB2312"/>
          <w:color w:val="auto"/>
          <w:sz w:val="32"/>
          <w:szCs w:val="32"/>
          <w:highlight w:val="none"/>
          <w:lang w:val="en" w:eastAsia="zh-CN"/>
        </w:rPr>
        <w:t>新疆生产建设兵团文化体育广电和旅游局</w:t>
      </w:r>
      <w:r>
        <w:rPr>
          <w:rFonts w:hint="eastAsia" w:ascii="仿宋_GB2312" w:hAnsi="仿宋_GB2312" w:eastAsia="仿宋_GB2312" w:cs="仿宋_GB2312"/>
          <w:b w:val="0"/>
          <w:bCs w:val="0"/>
          <w:color w:val="auto"/>
          <w:sz w:val="32"/>
          <w:szCs w:val="32"/>
          <w:highlight w:val="none"/>
          <w:lang w:val="en-US" w:eastAsia="zh-CN"/>
        </w:rPr>
        <w:t>在辖区范围内组织报名审核和考试推荐，通过国家成人学历教育考试录取，包括文化课考试和专业课考试，考试时间一般在每年7月—8月，具体时间以北京舞蹈学院招生简章为准。</w:t>
      </w:r>
    </w:p>
    <w:p>
      <w:pPr>
        <w:widowControl w:val="0"/>
        <w:numPr>
          <w:ilvl w:val="0"/>
          <w:numId w:val="0"/>
        </w:numPr>
        <w:ind w:right="0" w:rightChars="0" w:firstLine="640" w:firstLineChars="20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3.培养方式</w:t>
      </w:r>
    </w:p>
    <w:p>
      <w:pPr>
        <w:widowControl w:val="0"/>
        <w:numPr>
          <w:ilvl w:val="0"/>
          <w:numId w:val="0"/>
        </w:numPr>
        <w:ind w:right="0" w:rightChars="0" w:firstLine="640" w:firstLineChars="20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学制3年。学员需完成共1500学时左右的课程，包括公共基础课、专业基础理论课、专业基础能力课、专业实践创新课等课程领域。采取线上和线下相结合的培养方式，公共基础课、专业基础理论课采取线上学习的方式，约占总课时的25%—30%；专业基础能力课、专业实践创新课采取现场教学的方式，由北京舞蹈学院在当地建立项目工作站，定期选派优质专业师资赴当地开展现场集中教学和辅导。</w:t>
      </w:r>
    </w:p>
    <w:p>
      <w:pPr>
        <w:widowControl w:val="0"/>
        <w:numPr>
          <w:ilvl w:val="0"/>
          <w:numId w:val="2"/>
        </w:numPr>
        <w:ind w:right="0" w:rightChars="0" w:firstLine="640" w:firstLineChars="200"/>
        <w:jc w:val="both"/>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国家开放大学继续教育项目</w:t>
      </w:r>
    </w:p>
    <w:p>
      <w:pPr>
        <w:widowControl w:val="0"/>
        <w:numPr>
          <w:ilvl w:val="0"/>
          <w:numId w:val="0"/>
        </w:numPr>
        <w:ind w:right="0" w:rightChars="0" w:firstLine="640" w:firstLineChars="20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积极支持、指导西藏自治区文化厅、新疆维吾尔自治区文化和旅游厅、</w:t>
      </w:r>
      <w:r>
        <w:rPr>
          <w:rFonts w:hint="eastAsia" w:ascii="仿宋_GB2312" w:hAnsi="仿宋_GB2312" w:eastAsia="仿宋_GB2312" w:cs="仿宋_GB2312"/>
          <w:color w:val="auto"/>
          <w:sz w:val="32"/>
          <w:szCs w:val="32"/>
          <w:highlight w:val="none"/>
          <w:lang w:val="en-US" w:eastAsia="zh-CN"/>
        </w:rPr>
        <w:t>新疆生产建设兵团文化体育广电和旅游局</w:t>
      </w:r>
      <w:r>
        <w:rPr>
          <w:rFonts w:hint="eastAsia" w:ascii="仿宋_GB2312" w:hAnsi="仿宋_GB2312" w:eastAsia="仿宋_GB2312" w:cs="仿宋_GB2312"/>
          <w:b w:val="0"/>
          <w:bCs w:val="0"/>
          <w:color w:val="auto"/>
          <w:sz w:val="32"/>
          <w:szCs w:val="32"/>
          <w:highlight w:val="none"/>
          <w:lang w:val="en-US" w:eastAsia="zh-CN"/>
        </w:rPr>
        <w:t>与国家开放大学联系对接，面向本地区基层文艺队伍学历提升需求，通过有组织、有计划、分专业、分班次的方式组织本地区基层文艺队伍骨干人员参加国家开放大学学历提升教育。主要开设专业为高起专旅游管理、工商企业管理、数字媒体艺术设计专业；专升本酒店管理、工商管理、行政管理专业等。</w:t>
      </w:r>
    </w:p>
    <w:p>
      <w:pPr>
        <w:numPr>
          <w:ilvl w:val="0"/>
          <w:numId w:val="0"/>
        </w:numPr>
        <w:ind w:left="0" w:leftChars="0" w:right="0" w:rightChars="0" w:firstLine="0" w:firstLineChars="0"/>
        <w:jc w:val="both"/>
        <w:rPr>
          <w:rFonts w:hint="eastAsia" w:ascii="黑体" w:hAnsi="黑体" w:eastAsia="黑体" w:cs="黑体"/>
          <w:color w:val="auto"/>
          <w:sz w:val="32"/>
          <w:szCs w:val="32"/>
          <w:highlight w:val="none"/>
          <w:lang w:val="en" w:eastAsia="zh-CN"/>
        </w:rPr>
      </w:pPr>
      <w:r>
        <w:rPr>
          <w:rFonts w:hint="eastAsia" w:ascii="方正仿宋_GBK" w:hAnsi="方正仿宋_GBK" w:eastAsia="方正仿宋_GBK" w:cs="方正仿宋_GBK"/>
          <w:color w:val="auto"/>
          <w:sz w:val="32"/>
          <w:szCs w:val="32"/>
          <w:highlight w:val="none"/>
          <w:lang w:val="en-US" w:eastAsia="zh-CN"/>
        </w:rPr>
        <w:t xml:space="preserve">    </w:t>
      </w:r>
      <w:r>
        <w:rPr>
          <w:rFonts w:hint="eastAsia" w:ascii="黑体" w:hAnsi="黑体" w:eastAsia="黑体" w:cs="黑体"/>
          <w:color w:val="auto"/>
          <w:sz w:val="32"/>
          <w:szCs w:val="32"/>
          <w:highlight w:val="none"/>
          <w:lang w:val="en" w:eastAsia="zh-CN"/>
        </w:rPr>
        <w:t>五、组织管理</w:t>
      </w:r>
    </w:p>
    <w:p>
      <w:pPr>
        <w:widowControl w:val="0"/>
        <w:numPr>
          <w:ilvl w:val="0"/>
          <w:numId w:val="0"/>
        </w:numPr>
        <w:ind w:right="0" w:rightChars="0"/>
        <w:jc w:val="both"/>
        <w:rPr>
          <w:rFonts w:hint="eastAsia" w:ascii="楷体_GB2312" w:hAnsi="楷体_GB2312" w:eastAsia="楷体_GB2312" w:cs="楷体_GB2312"/>
          <w:b w:val="0"/>
          <w:bCs w:val="0"/>
          <w:color w:val="auto"/>
          <w:sz w:val="32"/>
          <w:szCs w:val="32"/>
          <w:highlight w:val="none"/>
          <w:lang w:val="en" w:eastAsia="zh-CN"/>
        </w:rPr>
      </w:pPr>
      <w:r>
        <w:rPr>
          <w:rFonts w:hint="eastAsia" w:ascii="楷体_GB2312" w:hAnsi="楷体_GB2312" w:eastAsia="楷体_GB2312" w:cs="楷体_GB2312"/>
          <w:b w:val="0"/>
          <w:bCs w:val="0"/>
          <w:color w:val="auto"/>
          <w:sz w:val="32"/>
          <w:szCs w:val="32"/>
          <w:highlight w:val="none"/>
          <w:lang w:val="en" w:eastAsia="zh-CN"/>
        </w:rPr>
        <w:t xml:space="preserve">    （一）调研与规划</w:t>
      </w:r>
    </w:p>
    <w:p>
      <w:pPr>
        <w:widowControl w:val="0"/>
        <w:numPr>
          <w:ilvl w:val="0"/>
          <w:numId w:val="0"/>
        </w:numPr>
        <w:ind w:right="0" w:rightChars="0" w:firstLine="640"/>
        <w:jc w:val="both"/>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lang w:val="en" w:eastAsia="zh-CN"/>
        </w:rPr>
        <w:t>文化和旅游部科技教育司指导西藏自治区文化厅、新疆维吾尔自治区文化和旅游厅、新疆生产建设兵团文化体育广电和旅游局根据当地各级文艺院团、文化企事业单位人才队伍情况，制定</w:t>
      </w:r>
      <w:r>
        <w:rPr>
          <w:rFonts w:hint="eastAsia" w:ascii="仿宋_GB2312" w:hAnsi="仿宋_GB2312" w:eastAsia="仿宋_GB2312" w:cs="仿宋_GB2312"/>
          <w:color w:val="auto"/>
          <w:sz w:val="32"/>
          <w:szCs w:val="32"/>
          <w:highlight w:val="none"/>
          <w:lang w:val="en-US" w:eastAsia="zh-CN"/>
        </w:rPr>
        <w:t>2022年至2024年</w:t>
      </w:r>
      <w:r>
        <w:rPr>
          <w:rFonts w:hint="eastAsia" w:ascii="仿宋_GB2312" w:hAnsi="仿宋_GB2312" w:eastAsia="仿宋_GB2312" w:cs="仿宋_GB2312"/>
          <w:color w:val="auto"/>
          <w:sz w:val="32"/>
          <w:szCs w:val="32"/>
          <w:highlight w:val="none"/>
          <w:lang w:val="en" w:eastAsia="zh-CN"/>
        </w:rPr>
        <w:t>“双提升计划”分批次分专业招生规划。</w:t>
      </w:r>
    </w:p>
    <w:p>
      <w:pPr>
        <w:widowControl w:val="0"/>
        <w:numPr>
          <w:ilvl w:val="0"/>
          <w:numId w:val="0"/>
        </w:numPr>
        <w:ind w:right="0" w:rightChars="0" w:firstLine="0" w:firstLineChars="0"/>
        <w:jc w:val="both"/>
        <w:rPr>
          <w:rFonts w:hint="eastAsia" w:ascii="楷体_GB2312" w:hAnsi="楷体_GB2312" w:eastAsia="楷体_GB2312" w:cs="楷体_GB2312"/>
          <w:b w:val="0"/>
          <w:bCs w:val="0"/>
          <w:color w:val="auto"/>
          <w:sz w:val="32"/>
          <w:szCs w:val="32"/>
          <w:highlight w:val="none"/>
          <w:lang w:val="en" w:eastAsia="zh-CN"/>
        </w:rPr>
      </w:pPr>
      <w:r>
        <w:rPr>
          <w:rFonts w:hint="eastAsia" w:ascii="楷体_GB2312" w:hAnsi="楷体_GB2312" w:eastAsia="楷体_GB2312" w:cs="楷体_GB2312"/>
          <w:b w:val="0"/>
          <w:bCs w:val="0"/>
          <w:color w:val="auto"/>
          <w:sz w:val="32"/>
          <w:szCs w:val="32"/>
          <w:highlight w:val="none"/>
          <w:lang w:val="en-US" w:eastAsia="zh-CN"/>
        </w:rPr>
        <w:t xml:space="preserve">    </w:t>
      </w:r>
      <w:r>
        <w:rPr>
          <w:rFonts w:hint="eastAsia" w:ascii="楷体_GB2312" w:hAnsi="楷体_GB2312" w:eastAsia="楷体_GB2312" w:cs="楷体_GB2312"/>
          <w:b w:val="0"/>
          <w:bCs w:val="0"/>
          <w:color w:val="auto"/>
          <w:sz w:val="32"/>
          <w:szCs w:val="32"/>
          <w:highlight w:val="none"/>
          <w:lang w:val="en" w:eastAsia="zh-CN"/>
        </w:rPr>
        <w:t>（二）制定培养方案</w:t>
      </w:r>
    </w:p>
    <w:p>
      <w:pPr>
        <w:widowControl w:val="0"/>
        <w:numPr>
          <w:ilvl w:val="0"/>
          <w:numId w:val="0"/>
        </w:numPr>
        <w:ind w:right="0" w:rightChars="0" w:firstLine="640"/>
        <w:jc w:val="both"/>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lang w:val="en" w:eastAsia="zh-CN"/>
        </w:rPr>
        <w:t>文化和旅游部科技教育司协调指导北京舞蹈学院、国家开放大学根据西藏、新疆文化事业发展需求，结合录取人员实际，制定专门的针对性培养方案，突出定制化、个性化、特色化培养模式，强化实践能力导向，着力提升专业能力和综合素质。文化和旅游部科技教育司积极协调教育部有关司局对项目实施给予支持和指导。</w:t>
      </w:r>
    </w:p>
    <w:p>
      <w:pPr>
        <w:widowControl w:val="0"/>
        <w:numPr>
          <w:ilvl w:val="0"/>
          <w:numId w:val="0"/>
        </w:numPr>
        <w:ind w:right="0" w:rightChars="0" w:firstLine="0" w:firstLineChars="0"/>
        <w:jc w:val="both"/>
        <w:rPr>
          <w:rFonts w:hint="eastAsia" w:ascii="楷体_GB2312" w:hAnsi="楷体_GB2312" w:eastAsia="楷体_GB2312" w:cs="楷体_GB2312"/>
          <w:b w:val="0"/>
          <w:bCs w:val="0"/>
          <w:color w:val="auto"/>
          <w:sz w:val="32"/>
          <w:szCs w:val="32"/>
          <w:highlight w:val="none"/>
          <w:lang w:val="en" w:eastAsia="zh-CN"/>
        </w:rPr>
      </w:pPr>
      <w:r>
        <w:rPr>
          <w:rFonts w:hint="eastAsia" w:ascii="楷体_GB2312" w:hAnsi="楷体_GB2312" w:eastAsia="楷体_GB2312" w:cs="楷体_GB2312"/>
          <w:b w:val="0"/>
          <w:bCs w:val="0"/>
          <w:color w:val="auto"/>
          <w:sz w:val="32"/>
          <w:szCs w:val="32"/>
          <w:highlight w:val="none"/>
          <w:lang w:val="en-US" w:eastAsia="zh-CN"/>
        </w:rPr>
        <w:t xml:space="preserve">    </w:t>
      </w:r>
      <w:r>
        <w:rPr>
          <w:rFonts w:hint="eastAsia" w:ascii="楷体_GB2312" w:hAnsi="楷体_GB2312" w:eastAsia="楷体_GB2312" w:cs="楷体_GB2312"/>
          <w:b w:val="0"/>
          <w:bCs w:val="0"/>
          <w:color w:val="auto"/>
          <w:sz w:val="32"/>
          <w:szCs w:val="32"/>
          <w:highlight w:val="none"/>
          <w:lang w:val="en" w:eastAsia="zh-CN"/>
        </w:rPr>
        <w:t>（三）加强日常管理</w:t>
      </w:r>
    </w:p>
    <w:p>
      <w:pPr>
        <w:widowControl w:val="0"/>
        <w:numPr>
          <w:ilvl w:val="0"/>
          <w:numId w:val="0"/>
        </w:numPr>
        <w:ind w:right="0" w:rightChars="0" w:firstLine="640"/>
        <w:jc w:val="both"/>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lang w:val="en" w:eastAsia="zh-CN"/>
        </w:rPr>
        <w:t>1.文化和旅游部不断加强西藏自治区文化厅、新疆维吾尔自治区文化和旅游厅、新疆生产建设兵团文化体育广电和旅游局与培养院校之间的沟通对接和深度合作，指导双方建立项目工作和学员学习情况的信息共享机制，加强学员跟踪管理。</w:t>
      </w:r>
    </w:p>
    <w:p>
      <w:pPr>
        <w:widowControl w:val="0"/>
        <w:numPr>
          <w:ilvl w:val="0"/>
          <w:numId w:val="0"/>
        </w:numPr>
        <w:ind w:right="0" w:rightChars="0" w:firstLine="640"/>
        <w:jc w:val="both"/>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lang w:val="en" w:eastAsia="zh-CN"/>
        </w:rPr>
        <w:t>2.西藏自治区文化厅、新疆维吾尔自治区文化和旅游厅、新疆生产建设兵团文化体育广电和旅游局加强对项目实施工作的组织保障，制定“双提升计划”项目管理制度，设立“双提升计划”项目工作办公室，具体开展以下工作：负责招生政策宣传解读；招生计划研究制定和组织落实；协助招生院校组织考前辅导和招生考试；协助招生院校建设本地教学工作站；对录取人员学习情况进行跟踪管理和督促指导；协调录取人员所在单位对项目予以支持；就本地区录取人员学习情况向文化和旅游部及时沟通反馈，定期报送工作动态；对完成“双提升计划”并取得学历证书人员予以一定形式的鼓励或奖励；不断加强本地区基层文化人才队伍调研和建设规划；积极为录取学员提供参与当地重点文艺演出项目或其他艺术实践机会。</w:t>
      </w:r>
    </w:p>
    <w:p>
      <w:pPr>
        <w:widowControl w:val="0"/>
        <w:numPr>
          <w:ilvl w:val="0"/>
          <w:numId w:val="0"/>
        </w:numPr>
        <w:ind w:right="0" w:rightChars="0" w:firstLine="640" w:firstLineChars="0"/>
        <w:jc w:val="both"/>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lang w:val="en" w:eastAsia="zh-CN"/>
        </w:rPr>
        <w:t>3.培养院校加强对项目实施工作的组织保障，成立“双提升计划”项目领导小组，加强项目制度保障、经费保障和人员保障，审议批准项目培养方案，协调解决项目执行过程中遇到的重大问题，统筹推进学校与西藏、新疆不断加强基层文艺人才培养等领域交流与合作。成立项目工作办公室，负责项目实施具体工作，包括：按需求进行“双提升计划”的专业课程设置和师资配置；组织考前辅导和招生考试；实施专业教学和考核评估，为完成全部学历教育课程并考核合格人员颁发国家承认的成人学历教育证书；在西藏、新疆分别设立“双提升计划”教学工作站，按照教学计划定期选派优质师资前往教学工作站对录取人员进行面授辅导与专业指导。</w:t>
      </w:r>
    </w:p>
    <w:p>
      <w:pPr>
        <w:widowControl w:val="0"/>
        <w:numPr>
          <w:ilvl w:val="0"/>
          <w:numId w:val="0"/>
        </w:numPr>
        <w:tabs>
          <w:tab w:val="left" w:pos="312"/>
        </w:tabs>
        <w:ind w:right="0" w:rightChars="0" w:firstLine="640"/>
        <w:jc w:val="both"/>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lang w:val="en" w:eastAsia="zh-CN"/>
        </w:rPr>
        <w:t>4.录取人员所在单位应对本单位人员参加“双提升计划”项目学习予以大力支持，努力降低工学矛盾。鼓励有条件的单位对完成“双提升计划”并取得学历证书人员予以一定形式的鼓励或奖励。</w:t>
      </w:r>
    </w:p>
    <w:p>
      <w:pPr>
        <w:widowControl w:val="0"/>
        <w:numPr>
          <w:ilvl w:val="0"/>
          <w:numId w:val="0"/>
        </w:numPr>
        <w:ind w:right="0" w:rightChars="0" w:firstLine="640"/>
        <w:jc w:val="both"/>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lang w:val="en" w:eastAsia="zh-CN"/>
        </w:rPr>
        <w:t>5.以项目为引领，推动文化和旅游部有关共建院校、国家开放大学等与西藏、新疆之间在基层文艺人才培养领域的深度合作与交流。</w:t>
      </w:r>
    </w:p>
    <w:p>
      <w:pPr>
        <w:numPr>
          <w:ilvl w:val="0"/>
          <w:numId w:val="0"/>
        </w:numPr>
        <w:ind w:left="0" w:leftChars="0" w:right="0" w:rightChars="0" w:firstLine="640" w:firstLineChars="200"/>
        <w:jc w:val="both"/>
        <w:rPr>
          <w:rFonts w:hint="eastAsia" w:ascii="黑体" w:hAnsi="黑体" w:eastAsia="黑体" w:cs="黑体"/>
          <w:color w:val="auto"/>
          <w:sz w:val="32"/>
          <w:szCs w:val="32"/>
          <w:highlight w:val="none"/>
          <w:lang w:val="en" w:eastAsia="zh-CN"/>
        </w:rPr>
      </w:pPr>
      <w:r>
        <w:rPr>
          <w:rFonts w:hint="eastAsia" w:ascii="黑体" w:hAnsi="黑体" w:eastAsia="黑体" w:cs="黑体"/>
          <w:color w:val="auto"/>
          <w:sz w:val="32"/>
          <w:szCs w:val="32"/>
          <w:highlight w:val="none"/>
          <w:lang w:val="en" w:eastAsia="zh-CN"/>
        </w:rPr>
        <w:t>六、项目经费</w:t>
      </w:r>
    </w:p>
    <w:p>
      <w:pPr>
        <w:numPr>
          <w:ilvl w:val="0"/>
          <w:numId w:val="0"/>
        </w:numPr>
        <w:ind w:right="0" w:rightChars="0" w:firstLine="640" w:firstLineChars="0"/>
        <w:jc w:val="both"/>
        <w:rPr>
          <w:rFonts w:hint="eastAsia" w:ascii="仿宋_GB2312" w:hAnsi="仿宋_GB2312" w:eastAsia="仿宋_GB2312" w:cs="仿宋_GB2312"/>
          <w:b w:val="0"/>
          <w:bCs w:val="0"/>
          <w:color w:val="auto"/>
          <w:sz w:val="32"/>
          <w:szCs w:val="32"/>
          <w:highlight w:val="none"/>
          <w:lang w:val="en" w:eastAsia="zh-CN"/>
        </w:rPr>
      </w:pPr>
      <w:r>
        <w:rPr>
          <w:rFonts w:hint="eastAsia" w:ascii="仿宋_GB2312" w:hAnsi="仿宋_GB2312" w:eastAsia="仿宋_GB2312" w:cs="仿宋_GB2312"/>
          <w:b w:val="0"/>
          <w:bCs w:val="0"/>
          <w:color w:val="auto"/>
          <w:sz w:val="32"/>
          <w:szCs w:val="32"/>
          <w:highlight w:val="none"/>
          <w:lang w:val="en" w:eastAsia="zh-CN"/>
        </w:rPr>
        <w:t>（一）招生院校采取有利于鼓励完成学业的灵活方式对“双提升计划”录取人员予以学费减免。</w:t>
      </w:r>
    </w:p>
    <w:p>
      <w:pPr>
        <w:numPr>
          <w:ilvl w:val="0"/>
          <w:numId w:val="0"/>
        </w:numPr>
        <w:tabs>
          <w:tab w:val="left" w:pos="618"/>
        </w:tabs>
        <w:ind w:right="0" w:rightChars="0" w:firstLine="640" w:firstLineChars="0"/>
        <w:jc w:val="both"/>
        <w:rPr>
          <w:rFonts w:hint="eastAsia" w:ascii="仿宋_GB2312" w:hAnsi="仿宋_GB2312" w:eastAsia="仿宋_GB2312" w:cs="仿宋_GB2312"/>
          <w:b w:val="0"/>
          <w:bCs w:val="0"/>
          <w:color w:val="auto"/>
          <w:sz w:val="32"/>
          <w:szCs w:val="32"/>
          <w:highlight w:val="none"/>
          <w:lang w:val="en" w:eastAsia="zh-CN"/>
        </w:rPr>
      </w:pPr>
      <w:r>
        <w:rPr>
          <w:rFonts w:hint="eastAsia" w:ascii="仿宋_GB2312" w:hAnsi="仿宋_GB2312" w:eastAsia="仿宋_GB2312" w:cs="仿宋_GB2312"/>
          <w:b w:val="0"/>
          <w:bCs w:val="0"/>
          <w:color w:val="auto"/>
          <w:sz w:val="32"/>
          <w:szCs w:val="32"/>
          <w:highlight w:val="none"/>
          <w:lang w:val="en" w:eastAsia="zh-CN"/>
        </w:rPr>
        <w:t>（二）文化和旅游部为招生院校提供一定项目管理经费支持。</w:t>
      </w:r>
    </w:p>
    <w:p>
      <w:pPr>
        <w:numPr>
          <w:ilvl w:val="0"/>
          <w:numId w:val="0"/>
        </w:numPr>
        <w:ind w:left="0" w:leftChars="0" w:right="0" w:rightChars="0" w:firstLine="640"/>
        <w:jc w:val="both"/>
        <w:rPr>
          <w:rFonts w:hint="eastAsia" w:ascii="仿宋_GB2312" w:hAnsi="仿宋_GB2312" w:eastAsia="仿宋_GB2312" w:cs="仿宋_GB2312"/>
          <w:b w:val="0"/>
          <w:bCs w:val="0"/>
          <w:color w:val="auto"/>
          <w:sz w:val="32"/>
          <w:szCs w:val="32"/>
          <w:highlight w:val="none"/>
          <w:lang w:val="en" w:eastAsia="zh-CN"/>
        </w:rPr>
      </w:pPr>
      <w:r>
        <w:rPr>
          <w:rFonts w:hint="eastAsia" w:ascii="仿宋_GB2312" w:hAnsi="仿宋_GB2312" w:eastAsia="仿宋_GB2312" w:cs="仿宋_GB2312"/>
          <w:b w:val="0"/>
          <w:bCs w:val="0"/>
          <w:color w:val="auto"/>
          <w:sz w:val="32"/>
          <w:szCs w:val="32"/>
          <w:highlight w:val="none"/>
          <w:lang w:val="en" w:eastAsia="zh-CN"/>
        </w:rPr>
        <w:t>（三）西藏自治区文化厅、新疆维吾尔自治区文化和旅</w:t>
      </w:r>
    </w:p>
    <w:p>
      <w:pPr>
        <w:numPr>
          <w:ilvl w:val="0"/>
          <w:numId w:val="0"/>
        </w:numPr>
        <w:ind w:right="0" w:rightChars="0" w:firstLine="0"/>
        <w:jc w:val="both"/>
        <w:rPr>
          <w:rFonts w:hint="eastAsia" w:ascii="仿宋_GB2312" w:hAnsi="仿宋_GB2312" w:eastAsia="仿宋_GB2312" w:cs="仿宋_GB2312"/>
          <w:b w:val="0"/>
          <w:bCs w:val="0"/>
          <w:color w:val="auto"/>
          <w:sz w:val="32"/>
          <w:szCs w:val="32"/>
          <w:highlight w:val="none"/>
          <w:lang w:val="en" w:eastAsia="zh-CN"/>
        </w:rPr>
      </w:pPr>
      <w:r>
        <w:rPr>
          <w:rFonts w:hint="eastAsia" w:ascii="仿宋_GB2312" w:hAnsi="仿宋_GB2312" w:eastAsia="仿宋_GB2312" w:cs="仿宋_GB2312"/>
          <w:b w:val="0"/>
          <w:bCs w:val="0"/>
          <w:color w:val="auto"/>
          <w:sz w:val="32"/>
          <w:szCs w:val="32"/>
          <w:highlight w:val="none"/>
          <w:lang w:val="en" w:eastAsia="zh-CN"/>
        </w:rPr>
        <w:t>游厅、</w:t>
      </w:r>
      <w:r>
        <w:rPr>
          <w:rFonts w:hint="eastAsia" w:ascii="仿宋_GB2312" w:hAnsi="仿宋_GB2312" w:eastAsia="仿宋_GB2312" w:cs="仿宋_GB2312"/>
          <w:color w:val="auto"/>
          <w:sz w:val="32"/>
          <w:szCs w:val="32"/>
          <w:highlight w:val="none"/>
          <w:lang w:val="en" w:eastAsia="zh-CN"/>
        </w:rPr>
        <w:t>新疆生产建设兵团文化体育广电和旅游局</w:t>
      </w:r>
      <w:r>
        <w:rPr>
          <w:rFonts w:hint="eastAsia" w:ascii="仿宋_GB2312" w:hAnsi="仿宋_GB2312" w:eastAsia="仿宋_GB2312" w:cs="仿宋_GB2312"/>
          <w:b w:val="0"/>
          <w:bCs w:val="0"/>
          <w:color w:val="auto"/>
          <w:sz w:val="32"/>
          <w:szCs w:val="32"/>
          <w:highlight w:val="none"/>
          <w:lang w:val="en" w:eastAsia="zh-CN"/>
        </w:rPr>
        <w:t>为项目提供专项经费支持，用于基层文化人才队伍调研、录取人员学习跟踪管理、经济困难学员赴教学工作站集中学习食宿、交通补助等相关工作经费。</w:t>
      </w:r>
    </w:p>
    <w:p>
      <w:pPr>
        <w:numPr>
          <w:ilvl w:val="0"/>
          <w:numId w:val="0"/>
        </w:numPr>
        <w:ind w:right="0" w:rightChars="0" w:firstLine="640"/>
        <w:jc w:val="both"/>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b w:val="0"/>
          <w:bCs w:val="0"/>
          <w:color w:val="auto"/>
          <w:sz w:val="32"/>
          <w:szCs w:val="32"/>
          <w:highlight w:val="none"/>
          <w:lang w:val="en" w:eastAsia="zh-CN"/>
        </w:rPr>
        <w:t>（四）录取人员学费根据招生简章由学员自行承担。</w:t>
      </w:r>
    </w:p>
    <w:p>
      <w:pPr>
        <w:numPr>
          <w:ilvl w:val="0"/>
          <w:numId w:val="0"/>
        </w:numPr>
        <w:ind w:right="0" w:rightChars="0" w:firstLine="640" w:firstLineChars="200"/>
        <w:jc w:val="both"/>
        <w:rPr>
          <w:rFonts w:hint="eastAsia" w:ascii="黑体" w:hAnsi="黑体" w:eastAsia="黑体" w:cs="黑体"/>
          <w:color w:val="auto"/>
          <w:sz w:val="32"/>
          <w:szCs w:val="32"/>
          <w:highlight w:val="none"/>
          <w:lang w:val="en" w:eastAsia="zh-CN"/>
        </w:rPr>
      </w:pPr>
      <w:r>
        <w:rPr>
          <w:rFonts w:hint="eastAsia" w:ascii="黑体" w:hAnsi="黑体" w:eastAsia="黑体" w:cs="黑体"/>
          <w:color w:val="auto"/>
          <w:sz w:val="32"/>
          <w:szCs w:val="32"/>
          <w:highlight w:val="none"/>
          <w:lang w:val="en" w:eastAsia="zh-CN"/>
        </w:rPr>
        <w:t>七、其他</w:t>
      </w:r>
    </w:p>
    <w:p>
      <w:r>
        <w:rPr>
          <w:rFonts w:hint="eastAsia" w:ascii="仿宋_GB2312" w:hAnsi="仿宋_GB2312" w:eastAsia="仿宋_GB2312" w:cs="仿宋_GB2312"/>
          <w:color w:val="auto"/>
          <w:sz w:val="32"/>
          <w:szCs w:val="32"/>
          <w:highlight w:val="none"/>
          <w:lang w:val="en" w:eastAsia="zh-CN"/>
        </w:rPr>
        <w:t>本方案由文化和旅游部负责解释。</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B321CA"/>
    <w:multiLevelType w:val="singleLevel"/>
    <w:tmpl w:val="FBB321CA"/>
    <w:lvl w:ilvl="0" w:tentative="0">
      <w:start w:val="2"/>
      <w:numFmt w:val="chineseCounting"/>
      <w:suff w:val="nothing"/>
      <w:lvlText w:val="（%1）"/>
      <w:lvlJc w:val="left"/>
      <w:rPr>
        <w:rFonts w:hint="eastAsia"/>
      </w:rPr>
    </w:lvl>
  </w:abstractNum>
  <w:abstractNum w:abstractNumId="1">
    <w:nsid w:val="7EBEF583"/>
    <w:multiLevelType w:val="singleLevel"/>
    <w:tmpl w:val="7EBEF58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707CF"/>
    <w:rsid w:val="1DF707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2022-03-31T08:35:00Z</dcterms:created>
  <dc:creator>洋錢錢</dc:creator>
  <cp:lastModifiedBy>洋錢錢</cp:lastModifiedBy>
  <dcterms:modified xsi:type="dcterms:W3CDTF">2022-03-31T08:36:14Z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9AEA5F4250624F048867E249D2964725</vt:lpwstr>
  </property>
</Properties>
</file>