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黑体"/>
          <w:szCs w:val="32"/>
        </w:rPr>
      </w:pPr>
      <w:r>
        <w:rPr>
          <w:rFonts w:hint="eastAsia" w:ascii="黑体" w:hAnsi="黑体" w:eastAsia="黑体" w:cs="黑体"/>
          <w:szCs w:val="32"/>
        </w:rPr>
        <w:t>附件</w:t>
      </w:r>
      <w:r>
        <w:rPr>
          <w:rFonts w:ascii="黑体" w:hAnsi="黑体" w:eastAsia="黑体" w:cs="黑体"/>
          <w:szCs w:val="32"/>
        </w:rPr>
        <w:t>2</w:t>
      </w:r>
    </w:p>
    <w:p>
      <w:pPr>
        <w:widowControl/>
        <w:spacing w:line="560" w:lineRule="exact"/>
        <w:jc w:val="center"/>
        <w:rPr>
          <w:rFonts w:ascii="方正小标宋简体" w:hAnsi="方正小标宋简体" w:eastAsia="方正小标宋简体" w:cs="方正小标宋简体"/>
          <w:szCs w:val="32"/>
        </w:rPr>
      </w:pPr>
    </w:p>
    <w:p>
      <w:pPr>
        <w:widowControl/>
        <w:spacing w:line="60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“东亚文化之都”申报条件和验收评分导则</w:t>
      </w:r>
    </w:p>
    <w:p>
      <w:pPr>
        <w:spacing w:line="600" w:lineRule="atLeast"/>
        <w:jc w:val="center"/>
        <w:rPr>
          <w:rFonts w:ascii="方正小标宋简体" w:hAnsi="方正小标宋简体" w:eastAsia="方正小标宋简体" w:cs="方正小标宋简体"/>
          <w:sz w:val="36"/>
          <w:szCs w:val="36"/>
        </w:rPr>
      </w:pPr>
    </w:p>
    <w:p>
      <w:pPr>
        <w:adjustRightInd w:val="0"/>
        <w:spacing w:line="640" w:lineRule="exact"/>
        <w:ind w:firstLine="640" w:firstLineChars="200"/>
        <w:jc w:val="left"/>
        <w:rPr>
          <w:rFonts w:ascii="黑体" w:hAnsi="黑体" w:eastAsia="黑体" w:cs="黑体"/>
          <w:szCs w:val="32"/>
        </w:rPr>
      </w:pPr>
      <w:r>
        <w:rPr>
          <w:rFonts w:hint="eastAsia" w:ascii="黑体" w:hAnsi="黑体" w:eastAsia="黑体" w:cs="黑体"/>
          <w:szCs w:val="32"/>
        </w:rPr>
        <w:t>一、“东亚文化之都”申报条件</w:t>
      </w:r>
    </w:p>
    <w:p>
      <w:pPr>
        <w:adjustRightInd w:val="0"/>
        <w:spacing w:line="640" w:lineRule="exact"/>
        <w:ind w:firstLine="640" w:firstLineChars="200"/>
        <w:jc w:val="left"/>
        <w:rPr>
          <w:rFonts w:ascii="仿宋_GB2312" w:hAnsi="仿宋_GB2312" w:cs="仿宋_GB2312"/>
          <w:szCs w:val="32"/>
        </w:rPr>
      </w:pPr>
      <w:r>
        <w:rPr>
          <w:rFonts w:hint="eastAsia" w:ascii="仿宋_GB2312" w:hAnsi="仿宋_GB2312" w:cs="仿宋_GB2312"/>
          <w:szCs w:val="32"/>
        </w:rPr>
        <w:t>申报城市能够弘扬中华文化的理念、智慧、气度、神韵，弘扬“东亚意识、文化交融、彼此欣赏”的“东亚文化之都”精神，突出“共生</w:t>
      </w:r>
      <w:r>
        <w:rPr>
          <w:rFonts w:hint="eastAsia" w:ascii="仿宋_GB2312" w:hAnsi="宋体" w:cs="宋体"/>
          <w:szCs w:val="32"/>
        </w:rPr>
        <w:t>·</w:t>
      </w:r>
      <w:r>
        <w:rPr>
          <w:rFonts w:hint="eastAsia" w:ascii="仿宋_GB2312" w:hAnsi="仿宋_GB2312" w:cs="仿宋_GB2312"/>
          <w:szCs w:val="32"/>
        </w:rPr>
        <w:t>创新</w:t>
      </w:r>
      <w:r>
        <w:rPr>
          <w:rFonts w:hint="eastAsia" w:ascii="仿宋_GB2312" w:hAnsi="宋体" w:cs="宋体"/>
          <w:szCs w:val="32"/>
        </w:rPr>
        <w:t>·</w:t>
      </w:r>
      <w:r>
        <w:rPr>
          <w:rFonts w:hint="eastAsia" w:ascii="仿宋_GB2312" w:hAnsi="仿宋_GB2312" w:cs="仿宋_GB2312"/>
          <w:szCs w:val="32"/>
        </w:rPr>
        <w:t>和谐”的共识，尊重文化多样性，积极参与主办“中日韩文化部长会议”“中日韩旅游部长会议”“中日韩艺术教育论坛”等中日韩国家级区域文化合作项目，积极参与“欧洲文化之都”“东盟文化城市”之间的对话与交流活动，配合做好“东亚文化之都”品牌建设工作，以文化为桥梁凝聚中日韩，增强青年一代对多元文化的集体认同感和归属感。</w:t>
      </w:r>
    </w:p>
    <w:p>
      <w:pPr>
        <w:numPr>
          <w:ilvl w:val="0"/>
          <w:numId w:val="0"/>
        </w:numPr>
        <w:adjustRightInd w:val="0"/>
        <w:spacing w:line="640" w:lineRule="exact"/>
        <w:ind w:left="0" w:firstLine="640" w:firstLineChars="200"/>
        <w:jc w:val="left"/>
        <w:rPr>
          <w:rFonts w:ascii="仿宋_GB2312" w:hAnsi="仿宋_GB2312" w:cs="仿宋_GB2312"/>
          <w:szCs w:val="32"/>
        </w:rPr>
      </w:pPr>
      <w:r>
        <w:rPr>
          <w:rFonts w:hint="eastAsia" w:ascii="仿宋_GB2312" w:hAnsi="仿宋_GB2312" w:cs="仿宋_GB2312"/>
          <w:szCs w:val="32"/>
        </w:rPr>
        <w:t>（一）申报城市须是历史文化名城，在近三年内无</w:t>
      </w:r>
      <w:r>
        <w:rPr>
          <w:rFonts w:hint="eastAsia" w:ascii="仿宋_GB2312" w:hAnsi="仿宋_GB2312" w:cs="仿宋_GB2312"/>
          <w:kern w:val="0"/>
          <w:szCs w:val="32"/>
        </w:rPr>
        <w:t>重大文物违法案件和安全责任事故</w:t>
      </w:r>
      <w:r>
        <w:rPr>
          <w:rFonts w:hint="eastAsia" w:ascii="仿宋_GB2312" w:hAnsi="仿宋_GB2312" w:cs="仿宋_GB2312"/>
          <w:szCs w:val="32"/>
        </w:rPr>
        <w:t>、无重大负面文化或旅游舆情。</w:t>
      </w:r>
    </w:p>
    <w:p>
      <w:pPr>
        <w:adjustRightInd w:val="0"/>
        <w:spacing w:line="640" w:lineRule="exact"/>
        <w:ind w:firstLine="640" w:firstLineChars="200"/>
        <w:jc w:val="left"/>
        <w:rPr>
          <w:rFonts w:ascii="仿宋_GB2312" w:hAnsi="仿宋_GB2312" w:cs="仿宋_GB2312"/>
          <w:szCs w:val="32"/>
        </w:rPr>
      </w:pPr>
      <w:r>
        <w:rPr>
          <w:rFonts w:hint="eastAsia" w:ascii="仿宋_GB2312" w:hAnsi="仿宋_GB2312" w:cs="仿宋_GB2312"/>
          <w:szCs w:val="32"/>
        </w:rPr>
        <w:t>（二）申报城市文化和旅游资源禀赋良好。历史文化悠久，文化形态丰富，文化资源规模可观，城市的历史文化品牌、旅游品牌、城市综合品牌突出，文化自信与开放度高，交通辐射能力和文化传播力较强，推动中华文化“走出去”，促进对外文化和旅游开放水平持续提高，在东亚地区具有一定的影响力。</w:t>
      </w:r>
    </w:p>
    <w:p>
      <w:pPr>
        <w:adjustRightInd w:val="0"/>
        <w:spacing w:line="640" w:lineRule="exact"/>
        <w:ind w:firstLine="640" w:firstLineChars="200"/>
        <w:jc w:val="left"/>
        <w:rPr>
          <w:rFonts w:ascii="仿宋_GB2312" w:hAnsi="仿宋_GB2312" w:cs="仿宋_GB2312"/>
          <w:szCs w:val="32"/>
        </w:rPr>
      </w:pPr>
      <w:r>
        <w:rPr>
          <w:rFonts w:hint="eastAsia" w:ascii="仿宋_GB2312" w:hAnsi="仿宋_GB2312" w:cs="仿宋_GB2312"/>
          <w:szCs w:val="32"/>
        </w:rPr>
        <w:t>（三）申报城市重视文化保护与传承。城市重视非物质文化遗产保护与传承，重视文物保护与利用，重视知识产权保护，文化资源总体保护良好，并得到了科学的利用和传承。</w:t>
      </w:r>
    </w:p>
    <w:p>
      <w:pPr>
        <w:adjustRightInd w:val="0"/>
        <w:spacing w:line="640" w:lineRule="exact"/>
        <w:ind w:firstLine="640" w:firstLineChars="200"/>
        <w:jc w:val="left"/>
        <w:rPr>
          <w:rFonts w:ascii="仿宋_GB2312" w:hAnsi="仿宋_GB2312" w:cs="仿宋_GB2312"/>
          <w:szCs w:val="32"/>
        </w:rPr>
      </w:pPr>
      <w:r>
        <w:rPr>
          <w:rFonts w:hint="eastAsia" w:ascii="仿宋_GB2312" w:hAnsi="仿宋_GB2312" w:cs="仿宋_GB2312"/>
          <w:szCs w:val="32"/>
        </w:rPr>
        <w:t>（四）申报城市公共文化设施与服务较为完善。城市公共文化服务体系与机制健全有效，拥有充足的文化服务网络平台，文化交流活跃，市民参与度高。</w:t>
      </w:r>
    </w:p>
    <w:p>
      <w:pPr>
        <w:adjustRightInd w:val="0"/>
        <w:spacing w:line="640" w:lineRule="exact"/>
        <w:ind w:firstLine="640" w:firstLineChars="200"/>
        <w:jc w:val="left"/>
        <w:rPr>
          <w:rFonts w:ascii="仿宋_GB2312" w:hAnsi="仿宋_GB2312" w:cs="仿宋_GB2312"/>
          <w:szCs w:val="32"/>
        </w:rPr>
      </w:pPr>
      <w:r>
        <w:rPr>
          <w:rFonts w:hint="eastAsia" w:ascii="仿宋_GB2312" w:hAnsi="仿宋_GB2312" w:cs="仿宋_GB2312"/>
          <w:szCs w:val="32"/>
        </w:rPr>
        <w:t>（五）申报城市文化和旅游产业优势独特。城市对文化和旅游产业有固定的投入机制，拥有一批文化和旅游生产企业，有丰富优质的文化和旅游产品，并且产出效果良好。</w:t>
      </w:r>
    </w:p>
    <w:p>
      <w:pPr>
        <w:adjustRightInd w:val="0"/>
        <w:spacing w:line="640" w:lineRule="exact"/>
        <w:ind w:firstLine="640" w:firstLineChars="200"/>
        <w:jc w:val="left"/>
        <w:rPr>
          <w:rFonts w:ascii="仿宋_GB2312" w:hAnsi="仿宋_GB2312" w:cs="仿宋_GB2312"/>
          <w:szCs w:val="32"/>
        </w:rPr>
      </w:pPr>
      <w:r>
        <w:rPr>
          <w:rFonts w:hint="eastAsia" w:ascii="仿宋_GB2312" w:hAnsi="仿宋_GB2312" w:cs="仿宋_GB2312"/>
          <w:szCs w:val="32"/>
        </w:rPr>
        <w:t>（六）申报城市文化旅游融合势头良好。按照“宜融则融，能融尽融，以文促旅，以旅彰文”的原则，全面推动文化旅游在理念、职能、产业、市场、服务等方面的深度融合发展，持续提升文化旅游供给能力、综合效益和服务质量。</w:t>
      </w:r>
    </w:p>
    <w:p>
      <w:pPr>
        <w:adjustRightInd w:val="0"/>
        <w:spacing w:line="640" w:lineRule="exact"/>
        <w:ind w:firstLine="640" w:firstLineChars="200"/>
        <w:jc w:val="left"/>
        <w:rPr>
          <w:rFonts w:ascii="仿宋_GB2312" w:hAnsi="仿宋_GB2312" w:cs="仿宋_GB2312"/>
          <w:szCs w:val="32"/>
        </w:rPr>
      </w:pPr>
      <w:r>
        <w:rPr>
          <w:rFonts w:hint="eastAsia" w:ascii="仿宋_GB2312" w:hAnsi="仿宋_GB2312" w:cs="仿宋_GB2312"/>
          <w:szCs w:val="32"/>
        </w:rPr>
        <w:t>（七）申报城市实施保障。城市对“东亚文化之都”的创建编制了发展规划和实施方案，并且组织保障有力，政策保障有力，联建机制有效，品牌营销效果良好。</w:t>
      </w:r>
    </w:p>
    <w:p>
      <w:pPr>
        <w:widowControl/>
        <w:adjustRightInd w:val="0"/>
        <w:spacing w:line="640" w:lineRule="exact"/>
        <w:ind w:firstLine="640" w:firstLineChars="200"/>
        <w:jc w:val="left"/>
        <w:rPr>
          <w:rFonts w:ascii="黑体" w:hAnsi="黑体" w:eastAsia="黑体" w:cs="黑体"/>
          <w:szCs w:val="32"/>
        </w:rPr>
      </w:pPr>
      <w:r>
        <w:br w:type="page"/>
      </w:r>
      <w:r>
        <w:rPr>
          <w:rFonts w:hint="eastAsia" w:ascii="黑体" w:hAnsi="黑体" w:eastAsia="黑体" w:cs="黑体"/>
          <w:szCs w:val="32"/>
        </w:rPr>
        <w:t>二、“东亚文化之都”验收评分导则</w:t>
      </w:r>
    </w:p>
    <w:tbl>
      <w:tblPr>
        <w:tblStyle w:val="2"/>
        <w:tblpPr w:leftFromText="180" w:rightFromText="180" w:vertAnchor="text" w:horzAnchor="page" w:tblpXSpec="center" w:tblpY="314"/>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94"/>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40" w:lineRule="exact"/>
              <w:rPr>
                <w:rFonts w:ascii="黑体" w:hAnsi="黑体" w:eastAsia="黑体"/>
                <w:sz w:val="16"/>
                <w:szCs w:val="28"/>
              </w:rPr>
            </w:pPr>
            <w:r>
              <w:rPr>
                <w:rFonts w:hint="eastAsia" w:ascii="黑体" w:hAnsi="黑体" w:eastAsia="黑体"/>
                <w:sz w:val="16"/>
                <w:szCs w:val="28"/>
              </w:rPr>
              <w:t>序号</w:t>
            </w:r>
          </w:p>
        </w:tc>
        <w:tc>
          <w:tcPr>
            <w:tcW w:w="169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jc w:val="left"/>
              <w:rPr>
                <w:rFonts w:ascii="黑体" w:hAnsi="黑体" w:eastAsia="黑体"/>
                <w:sz w:val="16"/>
                <w:szCs w:val="28"/>
              </w:rPr>
            </w:pPr>
            <w:r>
              <w:rPr>
                <w:rFonts w:hint="eastAsia" w:ascii="黑体" w:hAnsi="黑体" w:eastAsia="黑体"/>
                <w:sz w:val="16"/>
                <w:szCs w:val="28"/>
              </w:rPr>
              <w:t>评价指标</w:t>
            </w:r>
          </w:p>
        </w:tc>
        <w:tc>
          <w:tcPr>
            <w:tcW w:w="606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ind w:firstLine="320"/>
              <w:jc w:val="center"/>
              <w:rPr>
                <w:rFonts w:ascii="黑体" w:hAnsi="黑体" w:eastAsia="黑体"/>
                <w:sz w:val="16"/>
                <w:szCs w:val="28"/>
              </w:rPr>
            </w:pPr>
            <w:r>
              <w:rPr>
                <w:rFonts w:hint="eastAsia" w:ascii="黑体" w:hAnsi="黑体" w:eastAsia="黑体"/>
                <w:sz w:val="16"/>
                <w:szCs w:val="28"/>
              </w:rPr>
              <w:t>评分项（</w:t>
            </w:r>
            <w:r>
              <w:rPr>
                <w:rFonts w:ascii="黑体" w:hAnsi="黑体" w:eastAsia="黑体"/>
                <w:sz w:val="16"/>
                <w:szCs w:val="28"/>
              </w:rPr>
              <w:t>800</w:t>
            </w:r>
            <w:r>
              <w:rPr>
                <w:rFonts w:hint="eastAsia" w:ascii="黑体" w:hAnsi="黑体" w:eastAsia="黑体"/>
                <w:sz w:val="16"/>
                <w:szCs w:val="28"/>
              </w:rPr>
              <w:t>分）</w:t>
            </w:r>
          </w:p>
          <w:p>
            <w:pPr>
              <w:spacing w:line="340" w:lineRule="exact"/>
              <w:ind w:firstLine="320"/>
              <w:jc w:val="center"/>
              <w:rPr>
                <w:rFonts w:ascii="黑体" w:hAnsi="黑体" w:eastAsia="黑体"/>
                <w:sz w:val="16"/>
                <w:szCs w:val="28"/>
              </w:rPr>
            </w:pPr>
            <w:r>
              <w:rPr>
                <w:rFonts w:hint="eastAsia" w:ascii="黑体" w:hAnsi="黑体" w:eastAsia="黑体"/>
                <w:sz w:val="16"/>
                <w:szCs w:val="28"/>
              </w:rPr>
              <w:t>（供申报城市及专家参考）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r>
              <w:rPr>
                <w:rFonts w:ascii="黑体" w:hAnsi="黑体" w:eastAsia="黑体"/>
                <w:sz w:val="16"/>
                <w:szCs w:val="28"/>
              </w:rPr>
              <w:t>1.</w:t>
            </w:r>
          </w:p>
        </w:tc>
        <w:tc>
          <w:tcPr>
            <w:tcW w:w="1694"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文化资源禀赋</w:t>
            </w:r>
          </w:p>
        </w:tc>
        <w:tc>
          <w:tcPr>
            <w:tcW w:w="606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1.1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历史文化悠久度</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历史悠久，文化底蕴丰厚，城市风貌、人文遗产能够体现东亚文化传统，具有鲜明城市或地方特色文化。（</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1.2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文化形态丰富度</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主要文化类型超过</w:t>
            </w:r>
            <w:r>
              <w:rPr>
                <w:rFonts w:ascii="仿宋" w:hAnsi="仿宋" w:eastAsia="仿宋"/>
                <w:sz w:val="16"/>
                <w:szCs w:val="28"/>
              </w:rPr>
              <w:t>10</w:t>
            </w:r>
            <w:r>
              <w:rPr>
                <w:rFonts w:hint="eastAsia" w:ascii="仿宋" w:hAnsi="仿宋" w:eastAsia="仿宋"/>
                <w:sz w:val="16"/>
                <w:szCs w:val="28"/>
              </w:rPr>
              <w:t>类以上。（</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1.3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文化资源规模度</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支撑主要文化类型的文化资源（包括文物、非物质文化遗产）数量充足，关联性强，证据链完整。（</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1.4</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文化品牌度</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b/>
                <w:sz w:val="16"/>
                <w:szCs w:val="28"/>
              </w:rPr>
            </w:pPr>
            <w:r>
              <w:rPr>
                <w:rFonts w:ascii="仿宋" w:hAnsi="仿宋" w:eastAsia="仿宋"/>
                <w:b/>
                <w:sz w:val="16"/>
                <w:szCs w:val="28"/>
              </w:rPr>
              <w:t>1.4.1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b/>
                <w:sz w:val="16"/>
                <w:szCs w:val="28"/>
              </w:rPr>
            </w:pPr>
            <w:r>
              <w:rPr>
                <w:rFonts w:hint="eastAsia" w:ascii="仿宋" w:hAnsi="仿宋" w:eastAsia="仿宋"/>
                <w:b/>
                <w:sz w:val="16"/>
                <w:szCs w:val="28"/>
              </w:rPr>
              <w:t>历史文化品牌</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1.4.1.1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历史文化的典型性</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在历史上有一定的影响力，见证一定历史文化。（</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1.4.1.2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世界级文化品牌</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拥有世界文化遗产等世界级文化称号。（</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1.4.1.3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国家级文化品牌</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拥有历史文化名城等称号，全国重点文物保护单位数量在</w:t>
            </w:r>
            <w:r>
              <w:rPr>
                <w:rFonts w:ascii="仿宋" w:hAnsi="仿宋" w:eastAsia="仿宋"/>
                <w:sz w:val="16"/>
                <w:szCs w:val="28"/>
              </w:rPr>
              <w:t>10</w:t>
            </w:r>
            <w:r>
              <w:rPr>
                <w:rFonts w:hint="eastAsia" w:ascii="仿宋" w:hAnsi="仿宋" w:eastAsia="仿宋"/>
                <w:sz w:val="16"/>
                <w:szCs w:val="28"/>
              </w:rPr>
              <w:t>处以上。（</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1.4.1.4</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国家级文化资源品牌</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申报城市拥有</w:t>
            </w:r>
            <w:r>
              <w:rPr>
                <w:rFonts w:ascii="仿宋" w:hAnsi="仿宋" w:eastAsia="仿宋"/>
                <w:sz w:val="16"/>
                <w:szCs w:val="28"/>
              </w:rPr>
              <w:t>2</w:t>
            </w:r>
            <w:r>
              <w:rPr>
                <w:rFonts w:hint="eastAsia" w:ascii="仿宋" w:hAnsi="仿宋" w:eastAsia="仿宋"/>
                <w:sz w:val="16"/>
                <w:szCs w:val="28"/>
              </w:rPr>
              <w:t>项以上（含</w:t>
            </w:r>
            <w:r>
              <w:rPr>
                <w:rFonts w:ascii="仿宋" w:hAnsi="仿宋" w:eastAsia="仿宋"/>
                <w:sz w:val="16"/>
                <w:szCs w:val="28"/>
              </w:rPr>
              <w:t>2</w:t>
            </w:r>
            <w:r>
              <w:rPr>
                <w:rFonts w:hint="eastAsia" w:ascii="仿宋" w:hAnsi="仿宋" w:eastAsia="仿宋"/>
                <w:sz w:val="16"/>
                <w:szCs w:val="28"/>
              </w:rPr>
              <w:t>项）国家级非物质文化遗产，并加以合理保护传承。（</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b/>
                <w:sz w:val="16"/>
                <w:szCs w:val="28"/>
              </w:rPr>
            </w:pPr>
            <w:r>
              <w:rPr>
                <w:rFonts w:ascii="仿宋" w:hAnsi="仿宋" w:eastAsia="仿宋"/>
                <w:b/>
                <w:sz w:val="16"/>
                <w:szCs w:val="28"/>
              </w:rPr>
              <w:t>1.4.2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b/>
                <w:sz w:val="16"/>
                <w:szCs w:val="28"/>
              </w:rPr>
            </w:pPr>
            <w:r>
              <w:rPr>
                <w:rFonts w:hint="eastAsia" w:ascii="仿宋" w:hAnsi="仿宋" w:eastAsia="仿宋"/>
                <w:b/>
                <w:sz w:val="16"/>
                <w:szCs w:val="28"/>
              </w:rPr>
              <w:t>城市综合品牌</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1.4.2.1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城市文化氛围与风貌</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城市文化富有活力，文化氛围浓厚，市容市貌市风特色突出。（</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1.4.2.2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宜居城市与文化中心功能</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城市从文化生活角度更“宜居”</w:t>
            </w:r>
            <w:r>
              <w:rPr>
                <w:rFonts w:ascii="仿宋" w:hAnsi="仿宋" w:eastAsia="仿宋"/>
                <w:sz w:val="16"/>
                <w:szCs w:val="28"/>
              </w:rPr>
              <w:t>,</w:t>
            </w:r>
            <w:r>
              <w:rPr>
                <w:rFonts w:hint="eastAsia" w:ascii="仿宋" w:hAnsi="仿宋" w:eastAsia="仿宋"/>
                <w:sz w:val="16"/>
                <w:szCs w:val="28"/>
              </w:rPr>
              <w:t>营造“文化之城”，带动周边乃至全国文化旅游工作发展。（</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1.4.2.3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城市文化软实力强</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城市具有文化内涵和明确的核心理念，将文化列为城市发展的核心要素，具有较强的文化软实力。（</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1.4.2.4</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城市品牌力</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申报城市为世界知名的国际化大都市。（</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1.5</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文化自信与开放度</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1.5.1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具有东亚文化精神</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突出“共生</w:t>
            </w:r>
            <w:r>
              <w:rPr>
                <w:rFonts w:ascii="仿宋" w:hAnsi="宋体" w:cs="宋体"/>
                <w:sz w:val="16"/>
                <w:szCs w:val="28"/>
              </w:rPr>
              <w:t>•</w:t>
            </w:r>
            <w:r>
              <w:rPr>
                <w:rFonts w:hint="eastAsia" w:ascii="仿宋" w:hAnsi="仿宋" w:eastAsia="仿宋"/>
                <w:sz w:val="16"/>
                <w:szCs w:val="28"/>
              </w:rPr>
              <w:t>创新</w:t>
            </w:r>
            <w:r>
              <w:rPr>
                <w:rFonts w:ascii="仿宋" w:hAnsi="宋体" w:cs="宋体"/>
                <w:sz w:val="16"/>
                <w:szCs w:val="28"/>
              </w:rPr>
              <w:t>•</w:t>
            </w:r>
            <w:r>
              <w:rPr>
                <w:rFonts w:hint="eastAsia" w:ascii="仿宋" w:hAnsi="仿宋" w:eastAsia="仿宋"/>
                <w:sz w:val="16"/>
                <w:szCs w:val="28"/>
              </w:rPr>
              <w:t>和谐”的共识，能够以文化为桥梁团结东亚人民，增强东亚人民特别是青年一代对多元文化的集体认同感和归属感，弘扬“东亚意识、文化交融、彼此欣赏”的“东亚文化之都”精神。（</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1.5.2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文化多样性、包容性与文化自信</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尊重文化多样性，具有文化包容性，同时树立文化自信，凸显自身城市特色文化，能够弘扬中华文化的理念、智慧、气度、神韵。（</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1.5.3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hint="eastAsia" w:ascii="仿宋" w:hAnsi="仿宋" w:eastAsia="仿宋"/>
                <w:sz w:val="16"/>
                <w:szCs w:val="28"/>
              </w:rPr>
            </w:pPr>
            <w:r>
              <w:rPr>
                <w:rFonts w:hint="eastAsia" w:ascii="仿宋" w:hAnsi="仿宋" w:eastAsia="仿宋"/>
                <w:sz w:val="16"/>
                <w:szCs w:val="28"/>
              </w:rPr>
              <w:t>与东亚主要城市有</w:t>
            </w:r>
          </w:p>
          <w:p>
            <w:pPr>
              <w:spacing w:line="340" w:lineRule="exact"/>
              <w:jc w:val="left"/>
              <w:rPr>
                <w:rFonts w:ascii="仿宋" w:hAnsi="仿宋" w:eastAsia="仿宋"/>
                <w:sz w:val="16"/>
                <w:szCs w:val="28"/>
              </w:rPr>
            </w:pPr>
            <w:r>
              <w:rPr>
                <w:rFonts w:hint="eastAsia" w:ascii="仿宋" w:hAnsi="仿宋" w:eastAsia="仿宋"/>
                <w:sz w:val="16"/>
                <w:szCs w:val="28"/>
              </w:rPr>
              <w:t>直航</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申报城市开放程度高，同时拥有与韩国、日本直飞航班的。（</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hint="eastAsia" w:ascii="黑体" w:hAnsi="黑体" w:eastAsia="黑体"/>
                <w:sz w:val="16"/>
                <w:szCs w:val="28"/>
              </w:rPr>
            </w:pPr>
            <w:r>
              <w:rPr>
                <w:rFonts w:ascii="黑体" w:hAnsi="黑体" w:eastAsia="黑体"/>
                <w:sz w:val="16"/>
                <w:szCs w:val="28"/>
              </w:rPr>
              <w:t>2</w:t>
            </w:r>
            <w:r>
              <w:rPr>
                <w:rFonts w:hint="eastAsia" w:ascii="黑体" w:hAnsi="黑体" w:eastAsia="黑体"/>
                <w:sz w:val="16"/>
                <w:szCs w:val="28"/>
              </w:rPr>
              <w:t>.</w:t>
            </w:r>
          </w:p>
        </w:tc>
        <w:tc>
          <w:tcPr>
            <w:tcW w:w="1694"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文化保护</w:t>
            </w:r>
          </w:p>
        </w:tc>
        <w:tc>
          <w:tcPr>
            <w:tcW w:w="606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黑体" w:hAnsi="黑体" w:eastAsia="黑体"/>
                <w:sz w:val="16"/>
                <w:szCs w:val="28"/>
              </w:rPr>
            </w:pPr>
            <w:r>
              <w:rPr>
                <w:rFonts w:ascii="黑体" w:hAnsi="黑体" w:eastAsia="黑体"/>
                <w:sz w:val="16"/>
                <w:szCs w:val="28"/>
              </w:rPr>
              <w:t>2.1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28"/>
              </w:rPr>
            </w:pPr>
            <w:r>
              <w:rPr>
                <w:rFonts w:hint="eastAsia" w:ascii="仿宋" w:hAnsi="仿宋" w:eastAsia="仿宋"/>
                <w:sz w:val="16"/>
                <w:szCs w:val="28"/>
              </w:rPr>
              <w:t>非物质文化遗产保护与传承</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28"/>
              </w:rPr>
            </w:pPr>
            <w:r>
              <w:rPr>
                <w:rFonts w:hint="eastAsia" w:ascii="仿宋" w:hAnsi="仿宋" w:eastAsia="仿宋"/>
                <w:sz w:val="16"/>
                <w:szCs w:val="28"/>
              </w:rPr>
              <w:t>完善非物质文化遗产普查建档制度。非物质文化遗产保护纳入城市经济社会发展规划，践行非物质文化遗产保护“见人见物见生活”的正确理念，保护体系和机制较为完善，代表性项目和代表性传承人保护及传承机制健全，建有非物质文化遗产展示传习场馆，各项保护实践卓有成效，有体现地方特色的典型案例，当地民众参与非物质文化遗产保护积极性较高。（</w:t>
            </w:r>
            <w:r>
              <w:rPr>
                <w:rFonts w:ascii="仿宋" w:hAnsi="仿宋" w:eastAsia="仿宋"/>
                <w:sz w:val="16"/>
                <w:szCs w:val="28"/>
              </w:rPr>
              <w:t>20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黑体" w:hAnsi="黑体" w:eastAsia="黑体"/>
                <w:sz w:val="16"/>
                <w:szCs w:val="28"/>
              </w:rPr>
            </w:pPr>
            <w:r>
              <w:rPr>
                <w:rFonts w:ascii="黑体" w:hAnsi="黑体" w:eastAsia="黑体"/>
                <w:sz w:val="16"/>
                <w:szCs w:val="28"/>
              </w:rPr>
              <w:t>2.2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28"/>
              </w:rPr>
            </w:pPr>
            <w:r>
              <w:rPr>
                <w:rFonts w:hint="eastAsia" w:ascii="仿宋" w:hAnsi="仿宋" w:eastAsia="仿宋"/>
                <w:sz w:val="16"/>
                <w:szCs w:val="28"/>
              </w:rPr>
              <w:t>文物保护与利用</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28"/>
              </w:rPr>
            </w:pPr>
            <w:r>
              <w:rPr>
                <w:rFonts w:hint="eastAsia" w:ascii="仿宋" w:hAnsi="仿宋" w:eastAsia="仿宋"/>
                <w:sz w:val="16"/>
                <w:szCs w:val="28"/>
              </w:rPr>
              <w:t>坚持“保护为主、抢救第一、合理利用、加强管理”的方针，做好文物保护工作，抢救保护濒危文物，实施馆藏文物修复计划。文物保护纳入城市经济社会发展规划，文物保护管理机构健全，文物保护责任落实、措施到位，文物保存状况良好，无重大文物安全案件或事故，文物和博物馆单位开放利用效益突出，社会力量参与文物保护形成规模和良好效应。</w:t>
            </w:r>
          </w:p>
          <w:p>
            <w:pPr>
              <w:spacing w:line="340" w:lineRule="exact"/>
              <w:jc w:val="left"/>
              <w:rPr>
                <w:rFonts w:ascii="仿宋" w:hAnsi="仿宋" w:eastAsia="仿宋"/>
                <w:sz w:val="16"/>
                <w:szCs w:val="28"/>
              </w:rPr>
            </w:pPr>
            <w:r>
              <w:rPr>
                <w:rFonts w:hint="eastAsia" w:ascii="仿宋" w:hAnsi="仿宋" w:eastAsia="仿宋"/>
                <w:sz w:val="16"/>
                <w:szCs w:val="28"/>
              </w:rPr>
              <w:t>建立国家文物登录制度。（</w:t>
            </w:r>
            <w:r>
              <w:rPr>
                <w:rFonts w:ascii="仿宋" w:hAnsi="仿宋" w:eastAsia="仿宋"/>
                <w:sz w:val="16"/>
                <w:szCs w:val="28"/>
              </w:rPr>
              <w:t>20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2.3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知识产权保护</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支持数字版权公共服务平台建设，实现公共数字文化资源有效保护。（</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r>
              <w:rPr>
                <w:rFonts w:ascii="黑体" w:hAnsi="黑体" w:eastAsia="黑体"/>
                <w:sz w:val="16"/>
                <w:szCs w:val="28"/>
              </w:rPr>
              <w:t>3.</w:t>
            </w:r>
          </w:p>
        </w:tc>
        <w:tc>
          <w:tcPr>
            <w:tcW w:w="1694"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文化设施与服务</w:t>
            </w:r>
          </w:p>
        </w:tc>
        <w:tc>
          <w:tcPr>
            <w:tcW w:w="606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3.1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公共文化服务体制与机制</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ascii="仿宋" w:hAnsi="仿宋" w:eastAsia="仿宋"/>
                <w:sz w:val="16"/>
                <w:szCs w:val="28"/>
              </w:rPr>
              <w:t>3.1.1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建立公共文化服务保障机制</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深入宣传贯彻《中华人民共和国公共文化服务保障法》，形成现代公共文化服务体系建设的制度设计成果。建立公益性演出补贴制度，通过票价补贴、剧场运营补贴等方式，支持艺术表演团体提供公益性演出，并取得较好成效。（</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ascii="仿宋" w:hAnsi="仿宋" w:eastAsia="仿宋"/>
                <w:sz w:val="16"/>
                <w:szCs w:val="28"/>
              </w:rPr>
              <w:t>3.1.2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 w:hAnsi="仿宋" w:eastAsia="仿宋"/>
                <w:sz w:val="16"/>
                <w:szCs w:val="28"/>
              </w:rPr>
            </w:pPr>
            <w:r>
              <w:rPr>
                <w:rFonts w:hint="eastAsia" w:ascii="仿宋" w:hAnsi="仿宋" w:eastAsia="仿宋"/>
                <w:sz w:val="16"/>
                <w:szCs w:val="28"/>
              </w:rPr>
              <w:t>公共文化机构免费</w:t>
            </w:r>
          </w:p>
          <w:p>
            <w:pPr>
              <w:spacing w:line="340" w:lineRule="exact"/>
              <w:rPr>
                <w:rFonts w:ascii="仿宋" w:hAnsi="仿宋" w:eastAsia="仿宋"/>
                <w:sz w:val="16"/>
                <w:szCs w:val="28"/>
              </w:rPr>
            </w:pPr>
            <w:r>
              <w:rPr>
                <w:rFonts w:hint="eastAsia" w:ascii="仿宋" w:hAnsi="仿宋" w:eastAsia="仿宋"/>
                <w:sz w:val="16"/>
                <w:szCs w:val="28"/>
              </w:rPr>
              <w:t>开放</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建立公共文化设施免费开放的保障机制。公共图书馆、博物馆（包括民族博物馆、行业博物馆，下同）、文化馆、纪念馆、美术馆等免费开放。推动科技馆、工人文化宫、妇女儿童活动中心以及青少年校外活动场所免费提供基本公共文化服务项目。（</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ascii="仿宋" w:hAnsi="仿宋" w:eastAsia="仿宋"/>
                <w:sz w:val="16"/>
                <w:szCs w:val="28"/>
              </w:rPr>
              <w:t>3.1.3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 w:hAnsi="仿宋" w:eastAsia="仿宋"/>
                <w:sz w:val="16"/>
                <w:szCs w:val="28"/>
              </w:rPr>
            </w:pPr>
            <w:r>
              <w:rPr>
                <w:rFonts w:hint="eastAsia" w:ascii="仿宋" w:hAnsi="仿宋" w:eastAsia="仿宋"/>
                <w:sz w:val="16"/>
                <w:szCs w:val="28"/>
              </w:rPr>
              <w:t>公共文化服务效能</w:t>
            </w:r>
          </w:p>
          <w:p>
            <w:pPr>
              <w:spacing w:line="340" w:lineRule="exact"/>
              <w:rPr>
                <w:rFonts w:ascii="仿宋" w:hAnsi="仿宋" w:eastAsia="仿宋"/>
                <w:sz w:val="16"/>
                <w:szCs w:val="28"/>
              </w:rPr>
            </w:pPr>
            <w:r>
              <w:rPr>
                <w:rFonts w:hint="eastAsia" w:ascii="仿宋" w:hAnsi="仿宋" w:eastAsia="仿宋"/>
                <w:sz w:val="16"/>
                <w:szCs w:val="28"/>
              </w:rPr>
              <w:t>提升</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切实提升公共文化效能</w:t>
            </w:r>
            <w:r>
              <w:rPr>
                <w:rFonts w:ascii="仿宋" w:hAnsi="仿宋" w:eastAsia="仿宋"/>
                <w:sz w:val="16"/>
                <w:szCs w:val="28"/>
              </w:rPr>
              <w:t>,</w:t>
            </w:r>
            <w:r>
              <w:rPr>
                <w:rFonts w:hint="eastAsia" w:ascii="仿宋" w:hAnsi="仿宋" w:eastAsia="仿宋"/>
                <w:sz w:val="16"/>
                <w:szCs w:val="28"/>
              </w:rPr>
              <w:t>建立群众文化需求反馈机制，健全基本公共文化服务标准动态调整机制和公共文化服务提供目录，开展“菜单式”“订单式”服务。（</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ascii="仿宋" w:hAnsi="仿宋" w:eastAsia="仿宋"/>
                <w:sz w:val="16"/>
                <w:szCs w:val="28"/>
              </w:rPr>
              <w:t>3.1.4</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公共文化服务社会化</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建立健全政府向社会力量购买公共文化服务机制。鼓励经营性演出、电影放映、书刊出版、网络运营机构安排低价场次或低收费项目，推动经营性文化设施、非物质文化遗产传习场所和传统民俗文化活动场所等向公众提供优惠或免费的公益性文化服务。（</w:t>
            </w:r>
            <w:r>
              <w:rPr>
                <w:rFonts w:ascii="仿宋" w:hAnsi="仿宋" w:eastAsia="仿宋"/>
                <w:sz w:val="16"/>
                <w:szCs w:val="28"/>
              </w:rPr>
              <w:t>15</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ascii="仿宋" w:hAnsi="仿宋" w:eastAsia="仿宋"/>
                <w:sz w:val="16"/>
                <w:szCs w:val="28"/>
              </w:rPr>
              <w:t>3.1.5</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 w:hAnsi="仿宋" w:eastAsia="仿宋"/>
                <w:sz w:val="16"/>
                <w:szCs w:val="28"/>
              </w:rPr>
            </w:pPr>
            <w:r>
              <w:rPr>
                <w:rFonts w:hint="eastAsia" w:ascii="仿宋" w:hAnsi="仿宋" w:eastAsia="仿宋"/>
                <w:sz w:val="16"/>
                <w:szCs w:val="28"/>
              </w:rPr>
              <w:t>特殊群体文化权益</w:t>
            </w:r>
          </w:p>
          <w:p>
            <w:pPr>
              <w:spacing w:line="340" w:lineRule="exact"/>
              <w:rPr>
                <w:rFonts w:ascii="仿宋" w:hAnsi="仿宋" w:eastAsia="仿宋"/>
                <w:sz w:val="16"/>
                <w:szCs w:val="28"/>
              </w:rPr>
            </w:pPr>
            <w:r>
              <w:rPr>
                <w:rFonts w:hint="eastAsia" w:ascii="仿宋" w:hAnsi="仿宋" w:eastAsia="仿宋"/>
                <w:sz w:val="16"/>
                <w:szCs w:val="28"/>
              </w:rPr>
              <w:t>保障</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建立特殊群体基本文化权益的保障机制。（</w:t>
            </w:r>
            <w:r>
              <w:rPr>
                <w:rFonts w:ascii="仿宋" w:hAnsi="仿宋" w:eastAsia="仿宋"/>
                <w:sz w:val="16"/>
                <w:szCs w:val="28"/>
              </w:rPr>
              <w:t>5</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3.2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文化配套设施与场馆</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3.2.1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设施配置量</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公共图书馆、文化馆、博物馆、电影院、剧院、音乐厅等各类文化场馆和设施配置齐全，数量充足，较好满足市民和游客的文化需求。（</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3.2.2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设施功能性</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设施建设质量高，功能健全，富有文化特色，使用安全，重点场馆达到国际领先水平。（</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3.2.3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设施布局性</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坚持均衡配置、严格预留、规模适当、功能优先、经济适用、节能环保的原则，合理规划建设各类公共文化设施。县级文化馆图书馆总分馆制建设成效显著，形成符合当地实际的总分馆服务体系。（</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3.2.4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管理常态化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建立健全文化设施保护与管理机制。（</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3.3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文化服务网络平台</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3.3.1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公共文化数字平台</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挖掘整理优秀传统文化资源，推进数字化保存和传播，构建准确权威、开放共享的一站集成式城市文化资源公共数据平台，提供文化消费预约与预订。（</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3.3.2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sz w:val="16"/>
                <w:szCs w:val="28"/>
              </w:rPr>
            </w:pPr>
            <w:r>
              <w:rPr>
                <w:rFonts w:hint="eastAsia" w:ascii="仿宋" w:hAnsi="仿宋" w:eastAsia="仿宋"/>
                <w:sz w:val="16"/>
                <w:szCs w:val="28"/>
              </w:rPr>
              <w:t>公共文化数字服务</w:t>
            </w:r>
          </w:p>
          <w:p>
            <w:pPr>
              <w:spacing w:line="340" w:lineRule="exact"/>
              <w:rPr>
                <w:rFonts w:ascii="仿宋" w:hAnsi="仿宋" w:eastAsia="仿宋"/>
                <w:sz w:val="16"/>
                <w:szCs w:val="28"/>
              </w:rPr>
            </w:pPr>
            <w:r>
              <w:rPr>
                <w:rFonts w:hint="eastAsia" w:ascii="仿宋" w:hAnsi="仿宋" w:eastAsia="仿宋"/>
                <w:sz w:val="16"/>
                <w:szCs w:val="28"/>
              </w:rPr>
              <w:t>网络</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统筹实施城市文化信息资源共享工程，建设数字图书馆、博物馆、文化馆、数字广播电视等项目，构建标准统一、互联互通的公共数字文化服务网络。（</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3.4</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文化交流</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3.4.1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文化合作项目</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在对外文化交流尤其是与日、韩文化交流等方面有良好基础，积极参与中日韩国家级区域文化合作项目。（</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3.4.2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文化交流活动</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近年来曾经成功承办国内、国际大型文化活动或已形成对外文化交流的特色品牌。（</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3.4.3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文化交流平台</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申报城市拥有常态化国际文化交流平台。（</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3.5</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市民参与</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ascii="仿宋" w:hAnsi="仿宋" w:eastAsia="仿宋"/>
                <w:sz w:val="16"/>
                <w:szCs w:val="28"/>
              </w:rPr>
              <w:t>3.5.1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文化志愿服务体系</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大力弘扬志愿服务精神，坚持志愿服务与政府服务、市场服务相结合，奉献社会与自我发展、社会倡导和自愿参与相统一，构建参与广泛、内容丰富、形式多样、机制健全的文化志愿服务体系。（</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3.5.2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社区文化服务</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加快推进数字文化资源在智能社区中的应用，实现“一站式”服务。（</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3.5.3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群众自办文化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鼓励群众自办文化，支持成立各类群众文化团队。通过组织示范性展演等形式，为民间文化队伍提供展示交流的平台。（</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3.5.3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群众文化走出去</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加强群众性文化活动的国际交流，支持群众文化走出去，形成多层次、多渠道、全方位的对外文化交流格局。（</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3.5.4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市民参与度</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尊重并体现市民多样性的文化需求，鼓励市民积极参与各项文化活动。市民参与热情高、参与能力强、参与渠道畅通、参与方式便捷、参与效果好。（</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color w:val="0000FF"/>
                <w:sz w:val="16"/>
                <w:szCs w:val="28"/>
              </w:rPr>
            </w:pPr>
            <w:r>
              <w:rPr>
                <w:rFonts w:ascii="黑体" w:hAnsi="黑体" w:eastAsia="黑体"/>
                <w:sz w:val="16"/>
                <w:szCs w:val="28"/>
              </w:rPr>
              <w:t>4.</w:t>
            </w:r>
          </w:p>
        </w:tc>
        <w:tc>
          <w:tcPr>
            <w:tcW w:w="1694"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color w:val="0000FF"/>
                <w:sz w:val="16"/>
                <w:szCs w:val="28"/>
              </w:rPr>
            </w:pPr>
            <w:r>
              <w:rPr>
                <w:rFonts w:hint="eastAsia" w:ascii="黑体" w:hAnsi="黑体" w:eastAsia="黑体"/>
                <w:sz w:val="16"/>
                <w:szCs w:val="28"/>
              </w:rPr>
              <w:t>文化和旅游产业</w:t>
            </w:r>
          </w:p>
        </w:tc>
        <w:tc>
          <w:tcPr>
            <w:tcW w:w="606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color w:val="0000FF"/>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黑体" w:hAnsi="黑体" w:eastAsia="黑体"/>
                <w:color w:val="0000FF"/>
                <w:sz w:val="16"/>
                <w:szCs w:val="28"/>
              </w:rPr>
            </w:pPr>
            <w:r>
              <w:rPr>
                <w:rFonts w:ascii="黑体" w:hAnsi="黑体" w:eastAsia="黑体"/>
                <w:sz w:val="16"/>
                <w:szCs w:val="28"/>
              </w:rPr>
              <w:t>4.1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color w:val="0000FF"/>
                <w:sz w:val="16"/>
                <w:szCs w:val="28"/>
              </w:rPr>
            </w:pPr>
            <w:r>
              <w:rPr>
                <w:rFonts w:hint="eastAsia" w:ascii="黑体" w:hAnsi="黑体" w:eastAsia="黑体"/>
                <w:sz w:val="16"/>
                <w:szCs w:val="28"/>
              </w:rPr>
              <w:t>文化和旅游企业</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color w:val="0000FF"/>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4.1.1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国有文化和旅游企业（集团）</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拥有一批具有较强引领力的国有文化及旅游龙头企业（集团）。（</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4.1.2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民营文化和旅游经济组织</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拥有一批具有较强竞争力的民营文化及旅游经济组织，形成结构合理、业态多元的文化及旅游生产的市场主体。（</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4.1.3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文化和旅游协会组织</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文化类及旅游类行业协会、基金会、民办非企业单位等社会组织有序发展，富有活力，规范管理。（</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4.1.4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文化和产业集聚区</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全市形成了一批文化和旅游产业园区或集聚区。（</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ascii="仿宋" w:hAnsi="仿宋" w:eastAsia="仿宋"/>
                <w:sz w:val="16"/>
                <w:szCs w:val="28"/>
              </w:rPr>
              <w:t>4.1.5</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sz w:val="16"/>
                <w:szCs w:val="28"/>
              </w:rPr>
            </w:pPr>
            <w:r>
              <w:rPr>
                <w:rFonts w:hint="eastAsia" w:ascii="仿宋" w:hAnsi="仿宋" w:eastAsia="仿宋"/>
                <w:sz w:val="16"/>
                <w:szCs w:val="28"/>
              </w:rPr>
              <w:t>文化和旅游企业</w:t>
            </w:r>
          </w:p>
          <w:p>
            <w:pPr>
              <w:spacing w:line="340" w:lineRule="exact"/>
              <w:rPr>
                <w:rFonts w:ascii="黑体" w:hAnsi="黑体" w:eastAsia="黑体"/>
                <w:color w:val="0000FF"/>
                <w:sz w:val="16"/>
                <w:szCs w:val="28"/>
              </w:rPr>
            </w:pPr>
            <w:r>
              <w:rPr>
                <w:rFonts w:hint="eastAsia" w:ascii="仿宋" w:hAnsi="仿宋" w:eastAsia="仿宋"/>
                <w:sz w:val="16"/>
                <w:szCs w:val="28"/>
              </w:rPr>
              <w:t>走出去</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大力发展对外文化和旅游贸易，让更多体现中华文化特色、具有较强竞争力和影响力的文化和旅游企业走向国际市场。（</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4.1.6</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企业文化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用中华优秀传统文化的精髓涵养企业精神，培育现代文化和旅游企业文化。（</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color w:val="0000FF"/>
                <w:sz w:val="16"/>
                <w:szCs w:val="28"/>
              </w:rPr>
            </w:pPr>
            <w:r>
              <w:rPr>
                <w:rFonts w:ascii="黑体" w:hAnsi="黑体" w:eastAsia="黑体"/>
                <w:sz w:val="16"/>
                <w:szCs w:val="28"/>
              </w:rPr>
              <w:t>4.2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color w:val="0000FF"/>
                <w:sz w:val="16"/>
                <w:szCs w:val="28"/>
              </w:rPr>
            </w:pPr>
            <w:r>
              <w:rPr>
                <w:rFonts w:hint="eastAsia" w:ascii="黑体" w:hAnsi="黑体" w:eastAsia="黑体"/>
                <w:sz w:val="16"/>
                <w:szCs w:val="28"/>
              </w:rPr>
              <w:t>文化和旅游产品</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color w:val="0000FF"/>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4.2.1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文化创意产品</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挖掘中华优秀文化资源，开发富有城市文化特色与品味的创意产品。（</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4.2.2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中华传统文化产品</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有一批中华医药、中华烹饪、中华武术、中华典籍、中国文物、中国园林、中国节日等中华传统文化代表性产品走出去。中华老字号做精做强，保护发展良好，保留了一批文化特色浓、品牌信誉高、有市场竞争力的中华老字号。（</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4.2.3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中国传统文艺产品</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宣传推介戏曲、民乐、书法、国画等我国优秀传统文化艺术，国外民众在审美过程中获得愉悦、感受魅力。（</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ascii="仿宋" w:hAnsi="仿宋" w:eastAsia="仿宋"/>
                <w:sz w:val="16"/>
                <w:szCs w:val="28"/>
              </w:rPr>
              <w:t>4.2.4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高端文化产品</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生产丰富多样、社会价值和市场价值相统一、人民喜闻乐见的优质文化产品，扩大中高端文化产品和服务的供给。（</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40" w:lineRule="exact"/>
              <w:rPr>
                <w:rFonts w:ascii="仿宋" w:hAnsi="仿宋" w:eastAsia="仿宋"/>
                <w:sz w:val="16"/>
                <w:szCs w:val="28"/>
              </w:rPr>
            </w:pPr>
            <w:r>
              <w:rPr>
                <w:rFonts w:ascii="仿宋" w:hAnsi="仿宋" w:eastAsia="仿宋"/>
                <w:sz w:val="16"/>
                <w:szCs w:val="28"/>
              </w:rPr>
              <w:t>4.2.5</w:t>
            </w:r>
          </w:p>
        </w:tc>
        <w:tc>
          <w:tcPr>
            <w:tcW w:w="16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40" w:lineRule="exact"/>
              <w:rPr>
                <w:rFonts w:ascii="仿宋" w:hAnsi="仿宋" w:eastAsia="仿宋"/>
                <w:sz w:val="16"/>
                <w:szCs w:val="28"/>
              </w:rPr>
            </w:pPr>
            <w:r>
              <w:rPr>
                <w:rFonts w:hint="eastAsia" w:ascii="仿宋" w:hAnsi="仿宋" w:eastAsia="仿宋"/>
                <w:sz w:val="16"/>
                <w:szCs w:val="28"/>
              </w:rPr>
              <w:t>旅游景区</w:t>
            </w:r>
          </w:p>
        </w:tc>
        <w:tc>
          <w:tcPr>
            <w:tcW w:w="60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40" w:lineRule="exact"/>
              <w:rPr>
                <w:rFonts w:ascii="仿宋" w:hAnsi="仿宋" w:eastAsia="仿宋"/>
                <w:sz w:val="16"/>
                <w:szCs w:val="28"/>
              </w:rPr>
            </w:pPr>
            <w:r>
              <w:rPr>
                <w:rFonts w:hint="eastAsia" w:ascii="仿宋" w:hAnsi="仿宋" w:eastAsia="仿宋"/>
                <w:sz w:val="16"/>
                <w:szCs w:val="28"/>
              </w:rPr>
              <w:t>拥有高品质的旅游景区，能够满足市民和游客的基本旅游需求。（</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ascii="仿宋" w:hAnsi="仿宋" w:eastAsia="仿宋"/>
                <w:sz w:val="16"/>
                <w:szCs w:val="28"/>
              </w:rPr>
              <w:t>4.2.6</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新产品和新业态</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旅游创新活跃，拥有一定比例的旅游新产品和新业态，并保持较高的更新升级速度。（</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4.2.6</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旅游产品类型</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旅游产品类型多样、结构合理，能够满足不同人群和不同层次的需求。（</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4.2.7</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旅游要素设施完善</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吃、住、行、游、购、娱、厕等旅游要素设施配套完善，比例协调，布局合理。（</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color w:val="0000FF"/>
                <w:sz w:val="16"/>
                <w:szCs w:val="28"/>
              </w:rPr>
            </w:pPr>
            <w:r>
              <w:rPr>
                <w:rFonts w:ascii="黑体" w:hAnsi="黑体" w:eastAsia="黑体"/>
                <w:sz w:val="16"/>
                <w:szCs w:val="28"/>
              </w:rPr>
              <w:t>4.3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color w:val="0000FF"/>
                <w:sz w:val="16"/>
                <w:szCs w:val="28"/>
              </w:rPr>
            </w:pPr>
            <w:r>
              <w:rPr>
                <w:rFonts w:hint="eastAsia" w:ascii="黑体" w:hAnsi="黑体" w:eastAsia="黑体"/>
                <w:sz w:val="16"/>
                <w:szCs w:val="28"/>
              </w:rPr>
              <w:t>文化和旅游的投资与产出</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color w:val="0000FF"/>
                <w:sz w:val="16"/>
                <w:szCs w:val="28"/>
              </w:rPr>
            </w:pPr>
            <w:r>
              <w:rPr>
                <w:rFonts w:hint="eastAsia" w:ascii="仿宋" w:hAnsi="仿宋" w:eastAsia="仿宋"/>
                <w:sz w:val="16"/>
                <w:szCs w:val="28"/>
              </w:rPr>
              <w:t>有充足的资金投入，并且产出效益良好。（</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color w:val="0000FF"/>
                <w:sz w:val="16"/>
                <w:szCs w:val="28"/>
              </w:rPr>
            </w:pPr>
            <w:r>
              <w:rPr>
                <w:rFonts w:ascii="黑体" w:hAnsi="黑体" w:eastAsia="黑体"/>
                <w:sz w:val="16"/>
                <w:szCs w:val="28"/>
              </w:rPr>
              <w:t>5.</w:t>
            </w:r>
          </w:p>
        </w:tc>
        <w:tc>
          <w:tcPr>
            <w:tcW w:w="1694"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color w:val="0000FF"/>
                <w:sz w:val="16"/>
                <w:szCs w:val="28"/>
              </w:rPr>
            </w:pPr>
            <w:r>
              <w:rPr>
                <w:rFonts w:hint="eastAsia" w:ascii="黑体" w:hAnsi="黑体" w:eastAsia="黑体"/>
                <w:sz w:val="16"/>
                <w:szCs w:val="28"/>
              </w:rPr>
              <w:t>文化与旅游融合</w:t>
            </w:r>
          </w:p>
        </w:tc>
        <w:tc>
          <w:tcPr>
            <w:tcW w:w="606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color w:val="0000FF"/>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color w:val="0000FF"/>
                <w:sz w:val="16"/>
                <w:szCs w:val="28"/>
              </w:rPr>
            </w:pPr>
            <w:r>
              <w:rPr>
                <w:rFonts w:ascii="黑体" w:hAnsi="黑体" w:eastAsia="黑体"/>
                <w:sz w:val="16"/>
                <w:szCs w:val="28"/>
              </w:rPr>
              <w:t>5.1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color w:val="0000FF"/>
                <w:sz w:val="16"/>
                <w:szCs w:val="28"/>
              </w:rPr>
            </w:pPr>
            <w:r>
              <w:rPr>
                <w:rFonts w:hint="eastAsia" w:ascii="黑体" w:hAnsi="黑体" w:eastAsia="黑体"/>
                <w:sz w:val="16"/>
                <w:szCs w:val="28"/>
              </w:rPr>
              <w:t>文化</w:t>
            </w:r>
            <w:r>
              <w:rPr>
                <w:rFonts w:ascii="黑体" w:hAnsi="黑体" w:eastAsia="黑体"/>
                <w:sz w:val="16"/>
                <w:szCs w:val="28"/>
              </w:rPr>
              <w:t>+</w:t>
            </w:r>
            <w:r>
              <w:rPr>
                <w:rFonts w:hint="eastAsia" w:ascii="黑体" w:hAnsi="黑体" w:eastAsia="黑体"/>
                <w:sz w:val="16"/>
                <w:szCs w:val="28"/>
              </w:rPr>
              <w:t>旅游</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color w:val="0000FF"/>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ascii="仿宋" w:hAnsi="仿宋" w:eastAsia="仿宋"/>
                <w:sz w:val="16"/>
                <w:szCs w:val="28"/>
              </w:rPr>
              <w:t>5.1.1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文化设施和场馆的旅游化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发挥文化设施和场馆的旅游公共服务功能。完善城市文化馆、公共图书馆、博物馆等公共文化机构的旅游公共服务功能，加大文明旅游宣传力度，向游客提供相关旅游公共服务。（</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5.1.2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sz w:val="16"/>
                <w:szCs w:val="28"/>
              </w:rPr>
            </w:pPr>
            <w:r>
              <w:rPr>
                <w:rFonts w:hint="eastAsia" w:ascii="仿宋" w:hAnsi="仿宋" w:eastAsia="仿宋"/>
                <w:sz w:val="16"/>
                <w:szCs w:val="28"/>
              </w:rPr>
              <w:t>非物质文化的旅游</w:t>
            </w:r>
          </w:p>
          <w:p>
            <w:pPr>
              <w:spacing w:line="340" w:lineRule="exact"/>
              <w:rPr>
                <w:rFonts w:ascii="仿宋" w:hAnsi="仿宋" w:eastAsia="仿宋"/>
                <w:color w:val="0000FF"/>
                <w:sz w:val="16"/>
                <w:szCs w:val="28"/>
              </w:rPr>
            </w:pPr>
            <w:r>
              <w:rPr>
                <w:rFonts w:hint="eastAsia" w:ascii="仿宋" w:hAnsi="仿宋" w:eastAsia="仿宋"/>
                <w:sz w:val="16"/>
                <w:szCs w:val="28"/>
              </w:rPr>
              <w:t>利用</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采用创意、科技等手段推动非物质文化向旅游产品转换，实现文化的活化和复兴。（</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5.1.3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文物的旅游化利用</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在保护的前提下，科学有效地利用文物资源或围绕文物资源开发文化旅游产品或文化旅游消费空间。（</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黑体" w:hAnsi="黑体" w:eastAsia="黑体"/>
                <w:sz w:val="16"/>
                <w:szCs w:val="28"/>
              </w:rPr>
              <w:t>5.2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黑体" w:hAnsi="黑体" w:eastAsia="黑体"/>
                <w:sz w:val="16"/>
                <w:szCs w:val="28"/>
              </w:rPr>
              <w:t>旅游</w:t>
            </w:r>
            <w:r>
              <w:rPr>
                <w:rFonts w:ascii="黑体" w:hAnsi="黑体" w:eastAsia="黑体"/>
                <w:sz w:val="16"/>
                <w:szCs w:val="28"/>
              </w:rPr>
              <w:t>+</w:t>
            </w:r>
            <w:r>
              <w:rPr>
                <w:rFonts w:hint="eastAsia" w:ascii="黑体" w:hAnsi="黑体" w:eastAsia="黑体"/>
                <w:sz w:val="16"/>
                <w:szCs w:val="28"/>
              </w:rPr>
              <w:t>文化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5.2.1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文化研学旅游</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充分利用历史文化资源优势，规划设计推出一批专题研学旅游线路，引导游客在文化旅游中感知中华文化。（</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ascii="仿宋" w:hAnsi="仿宋" w:eastAsia="仿宋"/>
                <w:sz w:val="16"/>
                <w:szCs w:val="28"/>
              </w:rPr>
              <w:t>5.2.2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文化创意旅游</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olor w:val="0000FF"/>
                <w:sz w:val="16"/>
                <w:szCs w:val="28"/>
              </w:rPr>
            </w:pPr>
            <w:r>
              <w:rPr>
                <w:rFonts w:hint="eastAsia" w:ascii="仿宋" w:hAnsi="仿宋" w:eastAsia="仿宋"/>
                <w:sz w:val="16"/>
                <w:szCs w:val="28"/>
              </w:rPr>
              <w:t>城市文化创意旅游产品类型多样、业态丰富。（</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ascii="仿宋" w:hAnsi="仿宋" w:eastAsia="仿宋"/>
                <w:sz w:val="16"/>
                <w:szCs w:val="28"/>
              </w:rPr>
              <w:t>5.2.3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文化休闲旅游</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color w:val="0000FF"/>
                <w:sz w:val="16"/>
                <w:szCs w:val="28"/>
              </w:rPr>
            </w:pPr>
            <w:r>
              <w:rPr>
                <w:rFonts w:hint="eastAsia" w:ascii="仿宋" w:hAnsi="仿宋" w:eastAsia="仿宋"/>
                <w:sz w:val="16"/>
                <w:szCs w:val="28"/>
              </w:rPr>
              <w:t>推动城市休闲生活与传统文化融合发展，培育符合现代人需求的主客共享的文化旅游休闲产品。（</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40" w:lineRule="exact"/>
              <w:rPr>
                <w:rFonts w:ascii="黑体" w:hAnsi="黑体" w:eastAsia="黑体"/>
                <w:sz w:val="16"/>
                <w:szCs w:val="28"/>
              </w:rPr>
            </w:pPr>
            <w:r>
              <w:rPr>
                <w:rFonts w:ascii="仿宋" w:hAnsi="仿宋" w:eastAsia="仿宋"/>
                <w:sz w:val="16"/>
                <w:szCs w:val="28"/>
              </w:rPr>
              <w:t>5.2.4</w:t>
            </w:r>
          </w:p>
        </w:tc>
        <w:tc>
          <w:tcPr>
            <w:tcW w:w="16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40" w:lineRule="exact"/>
              <w:rPr>
                <w:rFonts w:ascii="黑体" w:hAnsi="黑体" w:eastAsia="黑体"/>
                <w:sz w:val="16"/>
                <w:szCs w:val="28"/>
              </w:rPr>
            </w:pPr>
            <w:r>
              <w:rPr>
                <w:rFonts w:hint="eastAsia" w:ascii="仿宋" w:hAnsi="仿宋" w:eastAsia="仿宋"/>
                <w:sz w:val="16"/>
                <w:szCs w:val="28"/>
              </w:rPr>
              <w:t>文化旅游演出</w:t>
            </w:r>
          </w:p>
        </w:tc>
        <w:tc>
          <w:tcPr>
            <w:tcW w:w="60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40" w:lineRule="exact"/>
              <w:rPr>
                <w:rFonts w:ascii="黑体" w:hAnsi="黑体" w:eastAsia="黑体"/>
                <w:sz w:val="16"/>
                <w:szCs w:val="28"/>
              </w:rPr>
            </w:pPr>
            <w:r>
              <w:rPr>
                <w:rFonts w:hint="eastAsia" w:ascii="仿宋" w:hAnsi="仿宋" w:eastAsia="仿宋"/>
                <w:sz w:val="16"/>
                <w:szCs w:val="28"/>
              </w:rPr>
              <w:t>拥有与游客或居民人口匹配的旅游演出活动。（</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ascii="仿宋" w:hAnsi="仿宋" w:eastAsia="仿宋"/>
                <w:sz w:val="16"/>
                <w:szCs w:val="28"/>
              </w:rPr>
              <w:t>5.2.5</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培育旅游新文化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以社会主义核心价值观和东亚文化精神为导向培育旅游新文化，引导社会主义文化新风尚和培育东亚共同的文化基因。（</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黑体" w:hAnsi="黑体" w:eastAsia="黑体"/>
                <w:sz w:val="16"/>
                <w:szCs w:val="28"/>
              </w:rPr>
              <w:t>5.3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黑体" w:hAnsi="黑体" w:eastAsia="黑体"/>
                <w:sz w:val="16"/>
                <w:szCs w:val="28"/>
              </w:rPr>
              <w:t>多态融合</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推动文化、旅游、商业、科技、体育等多业态融合，形成多业态城市综合体。（</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28"/>
              </w:rPr>
            </w:pPr>
            <w:r>
              <w:rPr>
                <w:rFonts w:ascii="黑体" w:hAnsi="黑体" w:eastAsia="黑体"/>
                <w:sz w:val="16"/>
                <w:szCs w:val="28"/>
              </w:rPr>
              <w:t>6.</w:t>
            </w:r>
          </w:p>
        </w:tc>
        <w:tc>
          <w:tcPr>
            <w:tcW w:w="1694"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28"/>
              </w:rPr>
            </w:pPr>
            <w:r>
              <w:rPr>
                <w:rFonts w:hint="eastAsia" w:ascii="黑体" w:hAnsi="黑体" w:eastAsia="黑体"/>
                <w:sz w:val="16"/>
                <w:szCs w:val="28"/>
              </w:rPr>
              <w:t>实施保障</w:t>
            </w:r>
          </w:p>
        </w:tc>
        <w:tc>
          <w:tcPr>
            <w:tcW w:w="606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ascii="黑体" w:hAnsi="黑体" w:eastAsia="黑体"/>
                <w:sz w:val="16"/>
                <w:szCs w:val="28"/>
              </w:rPr>
              <w:t>6.1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r>
              <w:rPr>
                <w:rFonts w:hint="eastAsia" w:ascii="黑体" w:hAnsi="黑体" w:eastAsia="黑体"/>
                <w:sz w:val="16"/>
                <w:szCs w:val="28"/>
              </w:rPr>
              <w:t>组织保障</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6.1.1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领导小组</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党委和政府切实履行主导责任，由党委和政府牵头设立专门的组织和执行机构，比如“东亚文化之都”工作领导小组，负责创建工作以及活动年的筹备、策划、实施和管理。（</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6.1.2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纳入考核</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“东亚文化之都”的创建工作纳入经济社会发展总体规划，纳入考核评价体系，纳入各级党校、行政学院教学的重要内容，作为考核评价领导班子和领导干部政绩的重要内容。（</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黑体" w:hAnsi="黑体" w:eastAsia="黑体"/>
                <w:sz w:val="16"/>
                <w:szCs w:val="28"/>
              </w:rPr>
              <w:t>6.2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黑体" w:hAnsi="黑体" w:eastAsia="黑体"/>
                <w:sz w:val="16"/>
                <w:szCs w:val="28"/>
              </w:rPr>
              <w:t>联建机制</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6.2.1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联合创建</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以“东亚文化之都”的创建工作为平台，由文化和旅游部门牵头，在规划编制、政策衔接、标准制定和实施等方面加强统筹、整体设计、协调推进，联合打造惠及文化的长期发展的机制和平台。（</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ascii="仿宋" w:hAnsi="仿宋" w:eastAsia="仿宋"/>
                <w:sz w:val="16"/>
                <w:szCs w:val="28"/>
              </w:rPr>
              <w:t>6.2.2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部门联合</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加大对跨部门、跨行业、跨地域公共文化资源的整合力度，依托国家公共文化服务体系建设示范区（项目）、高新技术园区和可持续发展实验区，开展公共文化服务与科技融合示范工作。（</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6.2.3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联合营销</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文化、旅游、广播电视、新闻出版、体育、工会、共青团、妇联等部门之间形成“东亚文化之都”联合营销机制。（</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6.2.4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联合执法</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充分发挥各行政主管部门在传承发展中华优秀传统文化中的重要作用，建立完善联合执法机制，严厉打击违法经营行为。（</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黑体" w:hAnsi="黑体" w:eastAsia="黑体"/>
                <w:sz w:val="16"/>
                <w:szCs w:val="28"/>
              </w:rPr>
              <w:t>6.3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黑体" w:hAnsi="黑体" w:eastAsia="黑体"/>
                <w:sz w:val="16"/>
                <w:szCs w:val="28"/>
              </w:rPr>
              <w:t>“东亚文化之都”规划与实施</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6.3.1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“东亚文化之都”发展规划</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6.3.1.1</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hint="eastAsia" w:ascii="仿宋" w:hAnsi="仿宋" w:eastAsia="仿宋"/>
                <w:sz w:val="16"/>
                <w:szCs w:val="28"/>
              </w:rPr>
            </w:pPr>
            <w:r>
              <w:rPr>
                <w:rFonts w:hint="eastAsia" w:ascii="仿宋" w:hAnsi="仿宋" w:eastAsia="仿宋"/>
                <w:sz w:val="16"/>
                <w:szCs w:val="28"/>
              </w:rPr>
              <w:t>“东亚文化之都”</w:t>
            </w:r>
          </w:p>
          <w:p>
            <w:pPr>
              <w:spacing w:line="340" w:lineRule="exact"/>
              <w:jc w:val="left"/>
              <w:rPr>
                <w:rFonts w:ascii="仿宋" w:hAnsi="仿宋" w:eastAsia="仿宋"/>
                <w:sz w:val="16"/>
                <w:szCs w:val="28"/>
              </w:rPr>
            </w:pPr>
            <w:r>
              <w:rPr>
                <w:rFonts w:hint="eastAsia" w:ascii="仿宋" w:hAnsi="仿宋" w:eastAsia="仿宋"/>
                <w:sz w:val="16"/>
                <w:szCs w:val="28"/>
              </w:rPr>
              <w:t>规划</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为“东亚文化之都”的发展科学编制中长期发展规划。（</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6.3.1.2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创建方案</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根据规划配套“东亚文化之都”三年创建实施方案和计划。（</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仿宋" w:hAnsi="仿宋" w:eastAsia="仿宋"/>
                <w:sz w:val="16"/>
                <w:szCs w:val="28"/>
              </w:rPr>
              <w:t>6.3.2</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仿宋" w:hAnsi="仿宋" w:eastAsia="仿宋"/>
                <w:sz w:val="16"/>
                <w:szCs w:val="28"/>
              </w:rPr>
              <w:t>“东亚文化之都”后续实施方案</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6.3.2.1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方案发布</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当选“东亚文化之都”后全年活动规划以市委市政府文件方式进行发布。（</w:t>
            </w:r>
            <w:r>
              <w:rPr>
                <w:rFonts w:ascii="仿宋" w:hAnsi="仿宋" w:eastAsia="仿宋"/>
                <w:sz w:val="16"/>
                <w:szCs w:val="28"/>
              </w:rPr>
              <w:t>5</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ascii="仿宋" w:hAnsi="仿宋" w:eastAsia="仿宋"/>
                <w:sz w:val="16"/>
                <w:szCs w:val="28"/>
              </w:rPr>
              <w:t>6.3.2.2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组织机构</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由地方政府牵头设立专门的组织机构，负责全年活动的筹备、策划、实施和管理，列入计划内的文化项目达到</w:t>
            </w:r>
            <w:r>
              <w:rPr>
                <w:rFonts w:ascii="仿宋" w:hAnsi="仿宋" w:eastAsia="仿宋"/>
                <w:sz w:val="16"/>
                <w:szCs w:val="28"/>
              </w:rPr>
              <w:t>100</w:t>
            </w:r>
            <w:r>
              <w:rPr>
                <w:rFonts w:hint="eastAsia" w:ascii="仿宋" w:hAnsi="仿宋" w:eastAsia="仿宋"/>
                <w:sz w:val="16"/>
                <w:szCs w:val="28"/>
              </w:rPr>
              <w:t>个。（</w:t>
            </w:r>
            <w:r>
              <w:rPr>
                <w:rFonts w:ascii="仿宋" w:hAnsi="仿宋" w:eastAsia="仿宋"/>
                <w:sz w:val="16"/>
                <w:szCs w:val="28"/>
              </w:rPr>
              <w:t>5</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6.3.2.3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活动要求</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当选年以“东亚文化之都（</w:t>
            </w:r>
            <w:r>
              <w:rPr>
                <w:rFonts w:ascii="仿宋" w:hAnsi="仿宋" w:eastAsia="仿宋"/>
                <w:sz w:val="16"/>
                <w:szCs w:val="28"/>
              </w:rPr>
              <w:t>+</w:t>
            </w:r>
            <w:r>
              <w:rPr>
                <w:rFonts w:hint="eastAsia" w:ascii="仿宋" w:hAnsi="仿宋" w:eastAsia="仿宋"/>
                <w:sz w:val="16"/>
                <w:szCs w:val="28"/>
              </w:rPr>
              <w:t>城市名）”为主题举办各类文化活动，活动策划需结合城市发展需要和文化特点，应明确主题，应体现多元化、广泛化，突出传承、交流与创新，年内列入框架内的各类文化活动不少于</w:t>
            </w:r>
            <w:r>
              <w:rPr>
                <w:rFonts w:ascii="仿宋" w:hAnsi="仿宋" w:eastAsia="仿宋"/>
                <w:sz w:val="16"/>
                <w:szCs w:val="28"/>
              </w:rPr>
              <w:t>100</w:t>
            </w:r>
            <w:r>
              <w:rPr>
                <w:rFonts w:hint="eastAsia" w:ascii="仿宋" w:hAnsi="仿宋" w:eastAsia="仿宋"/>
                <w:sz w:val="16"/>
                <w:szCs w:val="28"/>
              </w:rPr>
              <w:t>场。（</w:t>
            </w:r>
            <w:r>
              <w:rPr>
                <w:rFonts w:ascii="仿宋" w:hAnsi="仿宋" w:eastAsia="仿宋"/>
                <w:sz w:val="16"/>
                <w:szCs w:val="28"/>
              </w:rPr>
              <w:t>10</w:t>
            </w:r>
            <w:r>
              <w:rPr>
                <w:rFonts w:hint="eastAsia" w:ascii="仿宋" w:hAnsi="仿宋" w:eastAsia="仿宋"/>
                <w:sz w:val="16"/>
                <w:szCs w:val="28"/>
              </w:rPr>
              <w:t>分）</w:t>
            </w:r>
          </w:p>
          <w:p>
            <w:pPr>
              <w:spacing w:line="340" w:lineRule="exact"/>
              <w:rPr>
                <w:rFonts w:ascii="仿宋" w:hAnsi="仿宋" w:eastAsia="仿宋"/>
                <w:sz w:val="16"/>
                <w:szCs w:val="28"/>
              </w:rPr>
            </w:pPr>
            <w:r>
              <w:rPr>
                <w:rFonts w:hint="eastAsia" w:ascii="仿宋" w:hAnsi="仿宋" w:eastAsia="仿宋"/>
                <w:sz w:val="16"/>
                <w:szCs w:val="28"/>
              </w:rPr>
              <w:t>吸引当地民众和亚洲各国人士普遍参与，增进与东亚乃至世界各国的文化交流，展示我灿烂传统文化和改革开放以来文化发展成果，进一步提升城市文化底蕴、知名度和影响力，加深与各国的相互了解和友谊。（</w:t>
            </w:r>
            <w:r>
              <w:rPr>
                <w:rFonts w:ascii="仿宋" w:hAnsi="仿宋" w:eastAsia="仿宋"/>
                <w:sz w:val="16"/>
                <w:szCs w:val="28"/>
              </w:rPr>
              <w:t>5</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6.3.2.4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活动宣传</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提出详细的新闻宣传方案和工作安排。需开设专门网页，充分利用传统媒体和新媒体，在国内外形成广泛影响。积极利用地方媒体扩大影响。（</w:t>
            </w:r>
            <w:r>
              <w:rPr>
                <w:rFonts w:ascii="仿宋" w:hAnsi="仿宋" w:eastAsia="仿宋"/>
                <w:sz w:val="16"/>
                <w:szCs w:val="28"/>
              </w:rPr>
              <w:t>5</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黑体" w:hAnsi="黑体" w:eastAsia="黑体"/>
                <w:sz w:val="16"/>
                <w:szCs w:val="28"/>
              </w:rPr>
              <w:t>6.4</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黑体" w:hAnsi="黑体" w:eastAsia="黑体"/>
                <w:sz w:val="16"/>
                <w:szCs w:val="28"/>
              </w:rPr>
              <w:t>“东亚文化之都”品牌营销</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ascii="仿宋" w:hAnsi="仿宋" w:eastAsia="仿宋"/>
                <w:sz w:val="16"/>
                <w:szCs w:val="28"/>
              </w:rPr>
              <w:t>6.4.1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融媒体营销</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黑体" w:eastAsia="黑体"/>
                <w:sz w:val="16"/>
                <w:szCs w:val="28"/>
              </w:rPr>
            </w:pPr>
            <w:r>
              <w:rPr>
                <w:rFonts w:hint="eastAsia" w:ascii="仿宋" w:hAnsi="仿宋" w:eastAsia="仿宋"/>
                <w:sz w:val="16"/>
                <w:szCs w:val="28"/>
              </w:rPr>
              <w:t>综合运用报纸、书刊、电台、电视台、网站、新媒体等各类载体，融通多媒体资源，统筹宣传、文化、文物等各方力量，创新表达方式，大力宣传“东亚文化之都”品牌，彰显中华文化魅力。（</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6.4.2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海外营销</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充分运用海外中国文化中心、孔子学院，华侨华人、文化体育名人、各方面出境人员，依托我国驻外机构、中资企业、与我友好合作机构和世界各地的中餐馆，以及文物展览、博览会、书展、电影节、体育活动、旅游推介和各类品牌活动，助推我国“东亚文化之都”品牌的国际传播。（</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ascii="仿宋" w:hAnsi="仿宋" w:eastAsia="仿宋"/>
                <w:sz w:val="16"/>
                <w:szCs w:val="28"/>
              </w:rPr>
              <w:t>6.4.3</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第三方评价</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sz w:val="16"/>
                <w:szCs w:val="28"/>
              </w:rPr>
            </w:pPr>
            <w:r>
              <w:rPr>
                <w:rFonts w:hint="eastAsia" w:ascii="仿宋" w:hAnsi="仿宋" w:eastAsia="仿宋"/>
                <w:sz w:val="16"/>
                <w:szCs w:val="28"/>
              </w:rPr>
              <w:t>“东亚文化之都”社会影响力大，第三方评价高。（</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6.4.3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营销金费</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拥有充足的营销经费。（</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ascii="黑体" w:hAnsi="黑体" w:eastAsia="黑体"/>
                <w:sz w:val="16"/>
                <w:szCs w:val="28"/>
              </w:rPr>
              <w:t>6.5</w:t>
            </w:r>
          </w:p>
        </w:tc>
        <w:tc>
          <w:tcPr>
            <w:tcW w:w="1694"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r>
              <w:rPr>
                <w:rFonts w:hint="eastAsia" w:ascii="黑体" w:hAnsi="黑体" w:eastAsia="黑体"/>
                <w:sz w:val="16"/>
                <w:szCs w:val="28"/>
              </w:rPr>
              <w:t>政策保障</w:t>
            </w:r>
          </w:p>
        </w:tc>
        <w:tc>
          <w:tcPr>
            <w:tcW w:w="606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6.5.1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资金政策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地方政府能够提供资金保障，对当地推动文化和旅游工作及开展对外文化和旅游交流能给予经费支持，或能自筹经费开展文化和旅游领域的相关活动。制定和完善惠及中华优秀传统文化传承发展工程项目的金融支持政策。出台政府购买公共文化服务指导性意见和目录，将政府购买公共文化服务资金纳入财政预算。（</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6.5.2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奖励政策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完善相关奖励、补贴政策，落实税收优惠政策，引导和鼓励企业、社会组织及个人捐赠或共建相关文化项目。（</w:t>
            </w:r>
            <w:r>
              <w:rPr>
                <w:rFonts w:ascii="仿宋" w:hAnsi="仿宋" w:eastAsia="仿宋"/>
                <w:sz w:val="16"/>
                <w:szCs w:val="28"/>
              </w:rPr>
              <w:t>10</w:t>
            </w:r>
            <w:r>
              <w:rPr>
                <w:rFonts w:hint="eastAsia" w:ascii="仿宋" w:hAnsi="仿宋" w:eastAsia="仿宋"/>
                <w:sz w:val="16"/>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ascii="仿宋" w:hAnsi="仿宋" w:eastAsia="仿宋"/>
                <w:sz w:val="16"/>
                <w:szCs w:val="28"/>
              </w:rPr>
              <w:t>6.5.3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人才政策</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28"/>
              </w:rPr>
            </w:pPr>
            <w:r>
              <w:rPr>
                <w:rFonts w:hint="eastAsia" w:ascii="仿宋" w:hAnsi="仿宋" w:eastAsia="仿宋"/>
                <w:sz w:val="16"/>
                <w:szCs w:val="28"/>
              </w:rPr>
              <w:t>制定人才培养计划，培养造就一批人民喜爱、有国际影响的中华文化代表人物。（</w:t>
            </w:r>
            <w:r>
              <w:rPr>
                <w:rFonts w:ascii="仿宋" w:hAnsi="仿宋" w:eastAsia="仿宋"/>
                <w:sz w:val="16"/>
                <w:szCs w:val="28"/>
              </w:rPr>
              <w:t>10</w:t>
            </w:r>
            <w:r>
              <w:rPr>
                <w:rFonts w:hint="eastAsia" w:ascii="仿宋" w:hAnsi="仿宋" w:eastAsia="仿宋"/>
                <w:sz w:val="16"/>
                <w:szCs w:val="28"/>
              </w:rPr>
              <w:t>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E75FE"/>
    <w:rsid w:val="5AFE75FE"/>
    <w:rsid w:val="64B74D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2019-04-30T09:15:00Z</dcterms:created>
  <dc:creator>User</dc:creator>
  <cp:lastModifiedBy>User</cp:lastModifiedBy>
  <dcterms:modified xsi:type="dcterms:W3CDTF">2019-04-30T09:20:10Z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