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adjustRightInd w:val="0"/>
        <w:snapToGrid w:val="0"/>
        <w:spacing w:line="560" w:lineRule="exact"/>
        <w:ind w:lef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widowControl w:val="0"/>
        <w:adjustRightInd w:val="0"/>
        <w:snapToGrid w:val="0"/>
        <w:spacing w:line="560" w:lineRule="exact"/>
        <w:ind w:left="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公共文化服务高质量发展典型案例遴选</w:t>
      </w:r>
    </w:p>
    <w:p>
      <w:pPr>
        <w:adjustRightInd w:val="0"/>
        <w:snapToGrid w:val="0"/>
        <w:spacing w:line="56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工作方案</w:t>
      </w:r>
    </w:p>
    <w:bookmarkEnd w:id="0"/>
    <w:p>
      <w:pPr>
        <w:pStyle w:val="4"/>
        <w:widowControl w:val="0"/>
        <w:adjustRightInd w:val="0"/>
        <w:snapToGrid w:val="0"/>
        <w:spacing w:line="560" w:lineRule="exact"/>
        <w:ind w:left="0"/>
      </w:pP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为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完整、准确、全面</w:t>
      </w:r>
      <w:r>
        <w:rPr>
          <w:rStyle w:val="5"/>
          <w:rFonts w:ascii="仿宋_GB2312" w:hAnsi="仿宋_GB2312" w:eastAsia="仿宋_GB2312"/>
          <w:color w:val="000000"/>
          <w:szCs w:val="32"/>
        </w:rPr>
        <w:t>贯彻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新发展理念，推动公共文化服务高质量发展，中央宣传部</w:t>
      </w:r>
      <w:r>
        <w:rPr>
          <w:rStyle w:val="5"/>
          <w:rFonts w:hint="eastAsia" w:ascii="仿宋_GB2312" w:hAnsi="仿宋_GB2312" w:eastAsia="仿宋_GB2312"/>
          <w:szCs w:val="32"/>
        </w:rPr>
        <w:t>、</w:t>
      </w:r>
      <w:r>
        <w:rPr>
          <w:rStyle w:val="5"/>
          <w:rFonts w:ascii="仿宋_GB2312" w:hAnsi="仿宋_GB2312" w:eastAsia="仿宋_GB2312"/>
          <w:szCs w:val="32"/>
        </w:rPr>
        <w:t>国家发展改革委</w:t>
      </w:r>
      <w:r>
        <w:rPr>
          <w:rStyle w:val="5"/>
          <w:rFonts w:hint="eastAsia" w:ascii="仿宋_GB2312" w:hAnsi="仿宋_GB2312" w:eastAsia="仿宋_GB2312"/>
          <w:szCs w:val="32"/>
        </w:rPr>
        <w:t>、</w:t>
      </w:r>
      <w:r>
        <w:rPr>
          <w:rStyle w:val="5"/>
          <w:rFonts w:ascii="仿宋_GB2312" w:hAnsi="仿宋_GB2312" w:eastAsia="仿宋_GB2312"/>
          <w:color w:val="000000"/>
          <w:szCs w:val="32"/>
        </w:rPr>
        <w:t>文化和旅</w:t>
      </w:r>
      <w:r>
        <w:rPr>
          <w:rStyle w:val="5"/>
          <w:rFonts w:ascii="仿宋_GB2312" w:hAnsi="仿宋_GB2312" w:eastAsia="仿宋_GB2312"/>
          <w:szCs w:val="32"/>
        </w:rPr>
        <w:t>游部</w:t>
      </w:r>
      <w:r>
        <w:rPr>
          <w:rStyle w:val="5"/>
          <w:rFonts w:hint="eastAsia" w:ascii="仿宋_GB2312" w:hAnsi="仿宋_GB2312" w:eastAsia="仿宋_GB2312"/>
          <w:szCs w:val="32"/>
        </w:rPr>
        <w:t>将共同</w:t>
      </w:r>
      <w:r>
        <w:rPr>
          <w:rStyle w:val="5"/>
          <w:rFonts w:ascii="仿宋_GB2312" w:hAnsi="仿宋_GB2312" w:eastAsia="仿宋_GB2312"/>
          <w:szCs w:val="32"/>
        </w:rPr>
        <w:t>组织开展公共文化服务高质量发展典型案例遴选工作</w:t>
      </w:r>
      <w:r>
        <w:rPr>
          <w:rStyle w:val="5"/>
          <w:rFonts w:ascii="仿宋_GB2312" w:hAnsi="仿宋_GB2312" w:eastAsia="仿宋_GB2312"/>
          <w:color w:val="000000"/>
          <w:szCs w:val="32"/>
        </w:rPr>
        <w:t>。现制定工作方案如下：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黑体" w:hAnsi="黑体" w:eastAsia="黑体"/>
          <w:color w:val="000000"/>
          <w:szCs w:val="32"/>
        </w:rPr>
      </w:pPr>
      <w:r>
        <w:rPr>
          <w:rStyle w:val="5"/>
          <w:rFonts w:ascii="黑体" w:hAnsi="黑体" w:eastAsia="黑体"/>
          <w:color w:val="000000"/>
          <w:szCs w:val="32"/>
        </w:rPr>
        <w:t>总体思路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以习近平新时代中国特色社会主义思想为指导，深入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学习</w:t>
      </w:r>
      <w:r>
        <w:rPr>
          <w:rStyle w:val="5"/>
          <w:rFonts w:ascii="仿宋_GB2312" w:hAnsi="仿宋_GB2312" w:eastAsia="仿宋_GB2312"/>
          <w:color w:val="000000"/>
          <w:szCs w:val="32"/>
        </w:rPr>
        <w:t>贯彻习近平总书记关于文化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和旅游工作</w:t>
      </w:r>
      <w:r>
        <w:rPr>
          <w:rStyle w:val="5"/>
          <w:rFonts w:ascii="仿宋_GB2312" w:hAnsi="仿宋_GB2312" w:eastAsia="仿宋_GB2312"/>
          <w:color w:val="000000"/>
          <w:szCs w:val="32"/>
        </w:rPr>
        <w:t>重要论述精神，以推动高质量发展为主题，按照“重在基层，分类推进”的原则，在全国遴选推介一批体现公共文化服务发展方向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、</w:t>
      </w:r>
      <w:r>
        <w:rPr>
          <w:rStyle w:val="5"/>
          <w:rFonts w:ascii="仿宋_GB2312" w:hAnsi="仿宋_GB2312" w:eastAsia="仿宋_GB2312"/>
          <w:color w:val="000000"/>
          <w:szCs w:val="32"/>
        </w:rPr>
        <w:t>具有创新价值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、</w:t>
      </w:r>
      <w:r>
        <w:rPr>
          <w:rStyle w:val="5"/>
          <w:rFonts w:ascii="仿宋_GB2312" w:hAnsi="仿宋_GB2312" w:eastAsia="仿宋_GB2312"/>
          <w:color w:val="000000"/>
          <w:szCs w:val="32"/>
        </w:rPr>
        <w:t>服务城乡基层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、</w:t>
      </w:r>
      <w:r>
        <w:rPr>
          <w:rStyle w:val="5"/>
          <w:rFonts w:ascii="仿宋_GB2312" w:hAnsi="仿宋_GB2312" w:eastAsia="仿宋_GB2312"/>
          <w:color w:val="000000"/>
          <w:szCs w:val="32"/>
        </w:rPr>
        <w:t>群众认可度高的高质量发展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案例</w:t>
      </w:r>
      <w:r>
        <w:rPr>
          <w:rStyle w:val="5"/>
          <w:rFonts w:ascii="仿宋_GB2312" w:hAnsi="仿宋_GB2312" w:eastAsia="仿宋_GB2312"/>
          <w:color w:val="000000"/>
          <w:szCs w:val="32"/>
        </w:rPr>
        <w:t>，充分发挥示范作用，激发基层首创精神，引导形成公共文化服务创新发展的新格局新风尚。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Calibri" w:hAnsi="Calibri" w:eastAsia="宋体"/>
          <w:sz w:val="21"/>
          <w:szCs w:val="22"/>
        </w:rPr>
      </w:pPr>
      <w:r>
        <w:rPr>
          <w:rStyle w:val="5"/>
          <w:rFonts w:hint="eastAsia" w:ascii="黑体" w:hAnsi="黑体" w:eastAsia="黑体"/>
          <w:color w:val="000000"/>
          <w:szCs w:val="32"/>
        </w:rPr>
        <w:t>二、</w:t>
      </w:r>
      <w:r>
        <w:rPr>
          <w:rStyle w:val="5"/>
          <w:rFonts w:ascii="黑体" w:hAnsi="黑体" w:eastAsia="黑体"/>
          <w:color w:val="000000"/>
          <w:szCs w:val="32"/>
        </w:rPr>
        <w:t>工作机制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（一）遴选工作由文化和旅游部公共服务司会同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中央宣传部文改办、</w:t>
      </w:r>
      <w:r>
        <w:rPr>
          <w:rStyle w:val="5"/>
          <w:rFonts w:ascii="仿宋_GB2312" w:hAnsi="仿宋_GB2312" w:eastAsia="仿宋_GB2312"/>
          <w:color w:val="000000"/>
          <w:szCs w:val="32"/>
        </w:rPr>
        <w:t>国家发展改革委社会发展司组织实施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，</w:t>
      </w:r>
      <w:r>
        <w:rPr>
          <w:rStyle w:val="5"/>
          <w:rFonts w:ascii="仿宋_GB2312" w:hAnsi="仿宋_GB2312" w:eastAsia="仿宋_GB2312"/>
          <w:color w:val="000000"/>
          <w:szCs w:val="32"/>
        </w:rPr>
        <w:t>负责制定遴选工作方案，组织实施遴选各环节工作。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（二）各省级文化和旅游</w:t>
      </w:r>
      <w:r>
        <w:rPr>
          <w:rStyle w:val="5"/>
          <w:rFonts w:hint="eastAsia" w:ascii="仿宋_GB2312" w:hAnsi="仿宋_GB2312" w:eastAsia="仿宋_GB2312"/>
        </w:rPr>
        <w:t>行政部门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和宣传</w:t>
      </w:r>
      <w:r>
        <w:rPr>
          <w:rStyle w:val="5"/>
          <w:rFonts w:ascii="仿宋_GB2312" w:hAnsi="仿宋_GB2312" w:eastAsia="仿宋_GB2312"/>
          <w:color w:val="000000"/>
          <w:szCs w:val="32"/>
        </w:rPr>
        <w:t>、发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展</w:t>
      </w:r>
      <w:r>
        <w:rPr>
          <w:rStyle w:val="5"/>
          <w:rFonts w:ascii="仿宋_GB2312" w:hAnsi="仿宋_GB2312" w:eastAsia="仿宋_GB2312"/>
          <w:color w:val="000000"/>
          <w:szCs w:val="32"/>
        </w:rPr>
        <w:t>改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革</w:t>
      </w:r>
      <w:r>
        <w:rPr>
          <w:rStyle w:val="5"/>
          <w:rFonts w:ascii="仿宋_GB2312" w:hAnsi="仿宋_GB2312" w:eastAsia="仿宋_GB2312"/>
          <w:color w:val="000000"/>
          <w:szCs w:val="32"/>
        </w:rPr>
        <w:t>部门负</w:t>
      </w:r>
      <w:r>
        <w:rPr>
          <w:rStyle w:val="5"/>
          <w:rFonts w:ascii="仿宋_GB2312" w:hAnsi="仿宋_GB2312" w:eastAsia="仿宋_GB2312"/>
          <w:color w:val="000000"/>
          <w:spacing w:val="-8"/>
          <w:szCs w:val="32"/>
        </w:rPr>
        <w:t>责组织推荐本</w:t>
      </w:r>
      <w:r>
        <w:rPr>
          <w:rStyle w:val="5"/>
          <w:rFonts w:hint="eastAsia" w:ascii="仿宋_GB2312" w:hAnsi="仿宋_GB2312" w:eastAsia="仿宋_GB2312"/>
          <w:color w:val="000000"/>
          <w:spacing w:val="-8"/>
          <w:szCs w:val="32"/>
        </w:rPr>
        <w:t>地区</w:t>
      </w:r>
      <w:r>
        <w:rPr>
          <w:rStyle w:val="5"/>
          <w:rFonts w:ascii="仿宋_GB2312" w:hAnsi="仿宋_GB2312" w:eastAsia="仿宋_GB2312"/>
          <w:color w:val="000000"/>
          <w:spacing w:val="-8"/>
          <w:szCs w:val="32"/>
        </w:rPr>
        <w:t>优秀典型案例，对基层创新实践提供</w:t>
      </w:r>
      <w:r>
        <w:rPr>
          <w:rStyle w:val="5"/>
          <w:rFonts w:hint="eastAsia" w:ascii="仿宋_GB2312" w:hAnsi="仿宋_GB2312" w:eastAsia="仿宋_GB2312"/>
          <w:color w:val="000000"/>
          <w:spacing w:val="-8"/>
          <w:szCs w:val="32"/>
        </w:rPr>
        <w:t>指导和支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持</w:t>
      </w:r>
      <w:r>
        <w:rPr>
          <w:rStyle w:val="5"/>
          <w:rFonts w:ascii="仿宋_GB2312" w:hAnsi="仿宋_GB2312" w:eastAsia="仿宋_GB2312"/>
          <w:color w:val="000000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（三）县级人民政府是申报典型案例的主体，围绕公共文化服务的前瞻性、方向性问题进行制度设计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，实施项目抓手</w:t>
      </w:r>
      <w:r>
        <w:rPr>
          <w:rStyle w:val="5"/>
          <w:rFonts w:ascii="仿宋_GB2312" w:hAnsi="仿宋_GB2312" w:eastAsia="仿宋_GB2312"/>
          <w:color w:val="000000"/>
          <w:szCs w:val="32"/>
        </w:rPr>
        <w:t>，总结有示范价值的创新性做法，形成推动公共文化服务高质量发展的典型经验。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Style w:val="5"/>
          <w:rFonts w:ascii="黑体" w:hAnsi="黑体" w:eastAsia="黑体"/>
          <w:color w:val="000000"/>
          <w:szCs w:val="32"/>
        </w:rPr>
      </w:pPr>
      <w:r>
        <w:rPr>
          <w:rStyle w:val="5"/>
          <w:rFonts w:hint="eastAsia" w:ascii="黑体" w:hAnsi="黑体" w:eastAsia="黑体"/>
          <w:color w:val="000000"/>
          <w:szCs w:val="32"/>
        </w:rPr>
        <w:t>三、案</w:t>
      </w:r>
      <w:r>
        <w:rPr>
          <w:rStyle w:val="5"/>
          <w:rFonts w:ascii="黑体" w:hAnsi="黑体" w:eastAsia="黑体"/>
          <w:color w:val="000000"/>
          <w:szCs w:val="32"/>
        </w:rPr>
        <w:t>例要求</w:t>
      </w:r>
    </w:p>
    <w:p>
      <w:pPr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Style w:val="5"/>
          <w:rFonts w:ascii="仿宋_GB2312" w:hAnsi="仿宋_GB2312"/>
          <w:color w:val="000000"/>
          <w:szCs w:val="32"/>
        </w:rPr>
      </w:pPr>
      <w:r>
        <w:rPr>
          <w:rStyle w:val="5"/>
          <w:rFonts w:ascii="楷体_GB2312" w:hAnsi="楷体_GB2312" w:eastAsia="楷体_GB2312"/>
          <w:color w:val="000000"/>
          <w:szCs w:val="32"/>
        </w:rPr>
        <w:t>（一）案例主题类别及内容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1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．</w:t>
      </w:r>
      <w:r>
        <w:rPr>
          <w:rStyle w:val="5"/>
          <w:rFonts w:ascii="仿宋_GB2312" w:hAnsi="仿宋_GB2312" w:eastAsia="仿宋_GB2312"/>
          <w:color w:val="000000"/>
          <w:szCs w:val="32"/>
        </w:rPr>
        <w:t>制度建设类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紧密结合当地实际，出台推动公共文化服务高质量发展的实施意见或专项规划、行动计划等政策文件，对当地公共文化设施布局、制度安排进行整体设计，形成城乡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公共</w:t>
      </w:r>
      <w:r>
        <w:rPr>
          <w:rStyle w:val="5"/>
          <w:rFonts w:ascii="仿宋_GB2312" w:hAnsi="仿宋_GB2312" w:eastAsia="仿宋_GB2312"/>
          <w:color w:val="000000"/>
          <w:szCs w:val="32"/>
        </w:rPr>
        <w:t>文化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服务</w:t>
      </w:r>
      <w:r>
        <w:rPr>
          <w:rStyle w:val="5"/>
          <w:rFonts w:ascii="仿宋_GB2312" w:hAnsi="仿宋_GB2312" w:eastAsia="仿宋_GB2312"/>
          <w:color w:val="000000"/>
          <w:szCs w:val="32"/>
        </w:rPr>
        <w:t>一体发展格局；或在公共文化服务管理机制、均等化建设、标准化建设、与新时代文明实践中心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及县级融媒体中心</w:t>
      </w:r>
      <w:r>
        <w:rPr>
          <w:rStyle w:val="5"/>
          <w:rFonts w:ascii="仿宋_GB2312" w:hAnsi="仿宋_GB2312" w:eastAsia="仿宋_GB2312"/>
          <w:color w:val="000000"/>
          <w:szCs w:val="32"/>
        </w:rPr>
        <w:t>融合发展、健全中国特色法人治理结构、基层人才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队伍</w:t>
      </w:r>
      <w:r>
        <w:rPr>
          <w:rStyle w:val="5"/>
          <w:rFonts w:ascii="仿宋_GB2312" w:hAnsi="仿宋_GB2312" w:eastAsia="仿宋_GB2312"/>
          <w:color w:val="000000"/>
          <w:szCs w:val="32"/>
        </w:rPr>
        <w:t>建设等单项制度建设方面取得了具有示范价值的成果。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2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．</w:t>
      </w:r>
      <w:r>
        <w:rPr>
          <w:rStyle w:val="5"/>
          <w:rFonts w:ascii="仿宋_GB2312" w:hAnsi="仿宋_GB2312" w:eastAsia="仿宋_GB2312"/>
          <w:color w:val="000000"/>
          <w:szCs w:val="32"/>
        </w:rPr>
        <w:t>文化空间类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按照规模适当、布局科学、业态多元、特色鲜明的要求，突出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“</w:t>
      </w:r>
      <w:r>
        <w:rPr>
          <w:rStyle w:val="5"/>
          <w:rFonts w:ascii="仿宋_GB2312" w:hAnsi="仿宋_GB2312" w:eastAsia="仿宋_GB2312"/>
          <w:color w:val="000000"/>
          <w:szCs w:val="32"/>
        </w:rPr>
        <w:t>美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”“</w:t>
      </w:r>
      <w:r>
        <w:rPr>
          <w:rStyle w:val="5"/>
          <w:rFonts w:ascii="仿宋_GB2312" w:hAnsi="仿宋_GB2312" w:eastAsia="仿宋_GB2312"/>
          <w:color w:val="000000"/>
          <w:szCs w:val="32"/>
        </w:rPr>
        <w:t>好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”“</w:t>
      </w:r>
      <w:r>
        <w:rPr>
          <w:rStyle w:val="5"/>
          <w:rFonts w:ascii="仿宋_GB2312" w:hAnsi="仿宋_GB2312" w:eastAsia="仿宋_GB2312"/>
          <w:color w:val="000000"/>
          <w:szCs w:val="32"/>
        </w:rPr>
        <w:t>新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”</w:t>
      </w:r>
      <w:r>
        <w:rPr>
          <w:rStyle w:val="5"/>
          <w:rFonts w:ascii="仿宋_GB2312" w:hAnsi="仿宋_GB2312" w:eastAsia="仿宋_GB2312"/>
          <w:color w:val="000000"/>
          <w:szCs w:val="32"/>
        </w:rPr>
        <w:t>等特色，引领城乡文化空间建设，创新打造优质公共文化空间，包括基层文化空间、公共阅读空间、美丽乡村空间、商圈文化空间、跨界文化空间等，其建设和运营方式具有创新性和示范性。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hAnsi="仿宋_GB2312" w:eastAsia="仿宋_GB2312" w:cs="仿宋_GB2312"/>
          <w:szCs w:val="32"/>
        </w:rPr>
      </w:pPr>
      <w:r>
        <w:rPr>
          <w:rStyle w:val="5"/>
          <w:rFonts w:ascii="仿宋_GB2312" w:hAnsi="仿宋_GB2312" w:eastAsia="仿宋_GB2312" w:cs="仿宋_GB2312"/>
          <w:szCs w:val="32"/>
        </w:rPr>
        <w:t>3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．</w:t>
      </w:r>
      <w:r>
        <w:rPr>
          <w:rStyle w:val="5"/>
          <w:rFonts w:ascii="仿宋_GB2312" w:hAnsi="仿宋_GB2312" w:eastAsia="仿宋_GB2312" w:cs="仿宋_GB2312"/>
          <w:szCs w:val="32"/>
        </w:rPr>
        <w:t>全民艺术普及类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eastAsia="仿宋_GB2312"/>
          <w:sz w:val="21"/>
          <w:szCs w:val="22"/>
        </w:rPr>
      </w:pPr>
      <w:r>
        <w:rPr>
          <w:rStyle w:val="5"/>
          <w:rFonts w:ascii="仿宋_GB2312" w:hAnsi="等线" w:eastAsia="仿宋_GB2312"/>
          <w:szCs w:val="32"/>
        </w:rPr>
        <w:t>依托全民艺术节庆、公益艺术培训、群众文化品牌活动、特殊群体服务、群众文艺精品创作、群众文艺团队建设等，形成具有鲜明特色的全民艺术普及模式，组织管理水平完善，品牌项目活动知晓率、参与率、满意率达到较高水平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hAnsi="仿宋_GB2312" w:eastAsia="仿宋_GB2312" w:cs="仿宋_GB2312"/>
          <w:szCs w:val="32"/>
        </w:rPr>
      </w:pPr>
      <w:r>
        <w:rPr>
          <w:rStyle w:val="5"/>
          <w:rFonts w:ascii="仿宋_GB2312" w:hAnsi="仿宋_GB2312" w:eastAsia="仿宋_GB2312" w:cs="仿宋_GB2312"/>
          <w:szCs w:val="32"/>
        </w:rPr>
        <w:t>4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．</w:t>
      </w:r>
      <w:r>
        <w:rPr>
          <w:rStyle w:val="5"/>
          <w:rFonts w:ascii="仿宋_GB2312" w:hAnsi="仿宋_GB2312" w:eastAsia="仿宋_GB2312" w:cs="仿宋_GB2312"/>
          <w:szCs w:val="32"/>
        </w:rPr>
        <w:t>全民阅读类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hAnsi="等线" w:eastAsia="仿宋_GB2312"/>
          <w:szCs w:val="32"/>
        </w:rPr>
      </w:pPr>
      <w:r>
        <w:rPr>
          <w:rStyle w:val="5"/>
          <w:rFonts w:ascii="仿宋_GB2312" w:hAnsi="等线" w:eastAsia="仿宋_GB2312"/>
          <w:szCs w:val="32"/>
        </w:rPr>
        <w:t>在加强阅读内容引领、创新全民阅读活动方式、培育城乡阅读品牌、推动全民阅读社群建设、加强特殊群体阅读服务等方面取得较好成效，形成具有鲜明特色的全民阅读推广模式，当地群众对全民阅读的知晓率、参与率、满意率达到较高水平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hAnsi="仿宋_GB2312" w:eastAsia="仿宋_GB2312" w:cs="仿宋_GB2312"/>
          <w:szCs w:val="32"/>
        </w:rPr>
      </w:pPr>
      <w:r>
        <w:rPr>
          <w:rStyle w:val="5"/>
          <w:rFonts w:ascii="仿宋_GB2312" w:hAnsi="仿宋_GB2312" w:eastAsia="仿宋_GB2312" w:cs="仿宋_GB2312"/>
          <w:szCs w:val="32"/>
        </w:rPr>
        <w:t>5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．</w:t>
      </w:r>
      <w:r>
        <w:rPr>
          <w:rStyle w:val="5"/>
          <w:rFonts w:ascii="仿宋_GB2312" w:hAnsi="仿宋_GB2312" w:eastAsia="仿宋_GB2312" w:cs="仿宋_GB2312"/>
          <w:szCs w:val="32"/>
        </w:rPr>
        <w:t>乡村文化建设类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eastAsia="仿宋_GB2312"/>
          <w:sz w:val="21"/>
          <w:szCs w:val="22"/>
        </w:rPr>
      </w:pPr>
      <w:r>
        <w:rPr>
          <w:rStyle w:val="5"/>
          <w:rFonts w:ascii="仿宋_GB2312" w:eastAsia="仿宋_GB2312"/>
          <w:szCs w:val="32"/>
        </w:rPr>
        <w:t>围绕乡村振兴战略，将乡村文化建设融入城乡经济社会发展全局，在</w:t>
      </w:r>
      <w:r>
        <w:rPr>
          <w:rStyle w:val="5"/>
          <w:rFonts w:hint="eastAsia" w:ascii="仿宋_GB2312" w:eastAsia="仿宋_GB2312"/>
          <w:szCs w:val="32"/>
        </w:rPr>
        <w:t>推进乡村文化治理、“艺术乡村”建设、乡镇影院建设、</w:t>
      </w:r>
      <w:r>
        <w:rPr>
          <w:rStyle w:val="5"/>
          <w:rFonts w:ascii="仿宋_GB2312" w:eastAsia="仿宋_GB2312"/>
          <w:szCs w:val="32"/>
        </w:rPr>
        <w:t>乡村民俗节庆等活动开展、乡土文化传承、乡村文艺团队建设、乡村文化设施建设和运营、促进乡村文化和旅游融合等方面，取得了较好的经验与成效</w:t>
      </w:r>
      <w:r>
        <w:rPr>
          <w:rStyle w:val="5"/>
          <w:rFonts w:ascii="仿宋_GB2312" w:hAnsi="等线" w:eastAsia="仿宋_GB231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hAnsi="仿宋_GB2312" w:eastAsia="仿宋_GB2312" w:cs="仿宋_GB2312"/>
          <w:szCs w:val="32"/>
        </w:rPr>
      </w:pPr>
      <w:r>
        <w:rPr>
          <w:rStyle w:val="5"/>
          <w:rFonts w:ascii="仿宋_GB2312" w:hAnsi="仿宋_GB2312" w:eastAsia="仿宋_GB2312" w:cs="仿宋_GB2312"/>
          <w:szCs w:val="32"/>
        </w:rPr>
        <w:t>6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．</w:t>
      </w:r>
      <w:r>
        <w:rPr>
          <w:rStyle w:val="5"/>
          <w:rFonts w:ascii="仿宋_GB2312" w:hAnsi="仿宋_GB2312" w:eastAsia="仿宋_GB2312" w:cs="仿宋_GB2312"/>
          <w:szCs w:val="32"/>
        </w:rPr>
        <w:t>公共文化服务数字化类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hAnsi="等线" w:eastAsia="仿宋_GB2312"/>
          <w:szCs w:val="32"/>
        </w:rPr>
      </w:pPr>
      <w:r>
        <w:rPr>
          <w:rStyle w:val="5"/>
          <w:rFonts w:hint="eastAsia" w:ascii="仿宋_GB2312" w:hAnsi="等线" w:eastAsia="仿宋_GB2312"/>
          <w:szCs w:val="32"/>
        </w:rPr>
        <w:t>在公共文化机构管理和服务智慧化建设</w:t>
      </w:r>
      <w:r>
        <w:rPr>
          <w:rStyle w:val="5"/>
          <w:rFonts w:ascii="仿宋_GB2312" w:hAnsi="等线" w:eastAsia="仿宋_GB2312"/>
          <w:szCs w:val="32"/>
        </w:rPr>
        <w:t>、公共文化大数据管理、</w:t>
      </w:r>
      <w:r>
        <w:rPr>
          <w:rStyle w:val="5"/>
          <w:rFonts w:hint="eastAsia" w:ascii="仿宋_GB2312" w:hAnsi="等线" w:eastAsia="仿宋_GB2312"/>
          <w:szCs w:val="32"/>
        </w:rPr>
        <w:t>全民</w:t>
      </w:r>
      <w:r>
        <w:rPr>
          <w:rStyle w:val="5"/>
          <w:rFonts w:ascii="仿宋_GB2312" w:hAnsi="等线" w:eastAsia="仿宋_GB2312"/>
          <w:szCs w:val="32"/>
        </w:rPr>
        <w:t>阅读</w:t>
      </w:r>
      <w:r>
        <w:rPr>
          <w:rStyle w:val="5"/>
          <w:rFonts w:hint="eastAsia" w:ascii="仿宋_GB2312" w:hAnsi="等线" w:eastAsia="仿宋_GB2312"/>
          <w:szCs w:val="32"/>
        </w:rPr>
        <w:t>数字化服务</w:t>
      </w:r>
      <w:r>
        <w:rPr>
          <w:rStyle w:val="5"/>
          <w:rFonts w:ascii="仿宋_GB2312" w:hAnsi="等线" w:eastAsia="仿宋_GB2312"/>
          <w:szCs w:val="32"/>
        </w:rPr>
        <w:t>、全民艺术普及</w:t>
      </w:r>
      <w:r>
        <w:rPr>
          <w:rStyle w:val="5"/>
          <w:rFonts w:hint="eastAsia" w:ascii="仿宋_GB2312" w:hAnsi="等线" w:eastAsia="仿宋_GB2312"/>
          <w:szCs w:val="32"/>
        </w:rPr>
        <w:t>数字化</w:t>
      </w:r>
      <w:r>
        <w:rPr>
          <w:rStyle w:val="5"/>
          <w:rFonts w:ascii="仿宋_GB2312" w:hAnsi="等线" w:eastAsia="仿宋_GB2312"/>
          <w:szCs w:val="32"/>
        </w:rPr>
        <w:t>服务、数字文化品牌打造、数字文化新媒体运营等</w:t>
      </w:r>
      <w:r>
        <w:rPr>
          <w:rStyle w:val="5"/>
          <w:rFonts w:hint="eastAsia" w:ascii="仿宋_GB2312" w:hAnsi="等线" w:eastAsia="仿宋_GB2312"/>
          <w:szCs w:val="32"/>
        </w:rPr>
        <w:t>方面作出创新探索</w:t>
      </w:r>
      <w:r>
        <w:rPr>
          <w:rStyle w:val="5"/>
          <w:rFonts w:ascii="仿宋_GB2312" w:hAnsi="等线" w:eastAsia="仿宋_GB2312"/>
          <w:szCs w:val="32"/>
        </w:rPr>
        <w:t>，在数字化平台建设、资源整合</w:t>
      </w:r>
      <w:r>
        <w:rPr>
          <w:rStyle w:val="5"/>
          <w:rFonts w:hint="eastAsia" w:ascii="仿宋_GB2312" w:hAnsi="等线" w:eastAsia="仿宋_GB2312"/>
          <w:szCs w:val="32"/>
        </w:rPr>
        <w:t>、</w:t>
      </w:r>
      <w:r>
        <w:rPr>
          <w:rStyle w:val="5"/>
          <w:rFonts w:ascii="仿宋_GB2312" w:hAnsi="等线" w:eastAsia="仿宋_GB2312"/>
          <w:szCs w:val="32"/>
        </w:rPr>
        <w:t>服务应用、业态拓展等方面</w:t>
      </w:r>
      <w:r>
        <w:rPr>
          <w:rStyle w:val="5"/>
          <w:rFonts w:hint="eastAsia" w:ascii="仿宋_GB2312" w:hAnsi="等线" w:eastAsia="仿宋_GB2312"/>
          <w:szCs w:val="32"/>
        </w:rPr>
        <w:t>形成典型经验</w:t>
      </w:r>
      <w:r>
        <w:rPr>
          <w:rStyle w:val="5"/>
          <w:rFonts w:ascii="仿宋_GB2312" w:hAnsi="等线" w:eastAsia="仿宋_GB231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szCs w:val="32"/>
        </w:rPr>
      </w:pPr>
      <w:r>
        <w:rPr>
          <w:rStyle w:val="5"/>
          <w:rFonts w:hint="eastAsia" w:ascii="仿宋_GB2312" w:hAnsi="仿宋_GB2312" w:eastAsia="仿宋_GB2312" w:cs="仿宋_GB2312"/>
          <w:szCs w:val="32"/>
        </w:rPr>
        <w:t>7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．</w:t>
      </w:r>
      <w:r>
        <w:rPr>
          <w:rStyle w:val="5"/>
          <w:rFonts w:ascii="仿宋_GB2312" w:hAnsi="仿宋_GB2312" w:eastAsia="仿宋_GB2312" w:cs="仿宋_GB2312"/>
          <w:szCs w:val="32"/>
        </w:rPr>
        <w:t>公共文化服务</w:t>
      </w:r>
      <w:r>
        <w:rPr>
          <w:rStyle w:val="5"/>
          <w:rFonts w:hint="eastAsia" w:ascii="仿宋_GB2312" w:hAnsi="仿宋_GB2312" w:eastAsia="仿宋_GB2312" w:cs="仿宋_GB2312"/>
          <w:szCs w:val="32"/>
        </w:rPr>
        <w:t>社会化类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华文仿宋" w:cs="宋体"/>
          <w:color w:val="000000"/>
          <w:szCs w:val="32"/>
        </w:rPr>
      </w:pPr>
      <w:r>
        <w:rPr>
          <w:rFonts w:hint="eastAsia" w:ascii="仿宋_GB2312" w:hAnsi="华文仿宋" w:cs="宋体"/>
          <w:color w:val="000000"/>
          <w:szCs w:val="32"/>
        </w:rPr>
        <w:t>在政府购买公共文化服务、社会力量参与公共文化设施运营、文化志愿服务、培育和管理文化类社会组织等方面取得创新性经验，具有典型性和示范性。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hAnsi="仿宋_GB2312" w:eastAsia="仿宋_GB2312" w:cs="仿宋_GB2312"/>
          <w:szCs w:val="32"/>
        </w:rPr>
      </w:pPr>
      <w:r>
        <w:rPr>
          <w:rStyle w:val="5"/>
          <w:rFonts w:hint="eastAsia" w:ascii="仿宋_GB2312" w:hAnsi="仿宋_GB2312" w:eastAsia="仿宋_GB2312" w:cs="仿宋_GB2312"/>
          <w:szCs w:val="32"/>
        </w:rPr>
        <w:t>8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．</w:t>
      </w:r>
      <w:r>
        <w:rPr>
          <w:rStyle w:val="5"/>
          <w:rFonts w:ascii="仿宋_GB2312" w:hAnsi="仿宋_GB2312" w:eastAsia="仿宋_GB2312" w:cs="仿宋_GB2312"/>
          <w:szCs w:val="32"/>
        </w:rPr>
        <w:t>其他类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仿宋_GB2312" w:hAnsi="等线" w:eastAsia="仿宋_GB2312"/>
          <w:szCs w:val="32"/>
        </w:rPr>
      </w:pPr>
      <w:r>
        <w:rPr>
          <w:rStyle w:val="5"/>
          <w:rFonts w:ascii="仿宋_GB2312" w:hAnsi="等线" w:eastAsia="仿宋_GB2312"/>
          <w:szCs w:val="32"/>
        </w:rPr>
        <w:t>除上述</w:t>
      </w:r>
      <w:r>
        <w:rPr>
          <w:rStyle w:val="5"/>
          <w:rFonts w:hint="eastAsia" w:ascii="仿宋_GB2312" w:hAnsi="等线" w:eastAsia="仿宋_GB2312"/>
          <w:szCs w:val="32"/>
        </w:rPr>
        <w:t>7</w:t>
      </w:r>
      <w:r>
        <w:rPr>
          <w:rStyle w:val="5"/>
          <w:rFonts w:ascii="仿宋_GB2312" w:hAnsi="等线" w:eastAsia="仿宋_GB2312"/>
          <w:szCs w:val="32"/>
        </w:rPr>
        <w:t>个方面的案例外，其他有利于推动公共文化服务高质量发展的体制机制创新、服务内容创新、服务方式创新、传播手段创新等方面的案例，均可参与遴选。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楷体_GB2312" w:hAnsi="楷体_GB2312" w:eastAsia="楷体_GB2312"/>
          <w:color w:val="000000"/>
          <w:szCs w:val="32"/>
        </w:rPr>
      </w:pPr>
      <w:r>
        <w:rPr>
          <w:rStyle w:val="5"/>
          <w:rFonts w:ascii="楷体_GB2312" w:hAnsi="楷体_GB2312" w:eastAsia="楷体_GB2312"/>
          <w:color w:val="000000"/>
          <w:szCs w:val="32"/>
        </w:rPr>
        <w:t>基本要求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hint="eastAsia" w:ascii="仿宋_GB2312" w:hAnsi="仿宋_GB2312" w:eastAsia="仿宋_GB2312"/>
          <w:color w:val="000000"/>
          <w:szCs w:val="32"/>
        </w:rPr>
        <w:t>1．</w:t>
      </w:r>
      <w:r>
        <w:rPr>
          <w:rStyle w:val="5"/>
          <w:rFonts w:ascii="仿宋_GB2312" w:hAnsi="仿宋_GB2312" w:eastAsia="仿宋_GB2312"/>
          <w:color w:val="000000"/>
          <w:szCs w:val="32"/>
        </w:rPr>
        <w:t>申报主体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要</w:t>
      </w:r>
      <w:r>
        <w:rPr>
          <w:rStyle w:val="5"/>
          <w:rFonts w:ascii="仿宋_GB2312" w:hAnsi="仿宋_GB2312" w:eastAsia="仿宋_GB2312"/>
          <w:color w:val="000000"/>
          <w:szCs w:val="32"/>
        </w:rPr>
        <w:t>认真贯彻新发展理念，按照高质量发展要求，在公共文化服务重点环节和关键领域进行积极探索并取得显著成绩，形成了可借鉴可推广的典型经验和做法，群众满意度高。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hint="eastAsia" w:ascii="仿宋_GB2312" w:hAnsi="仿宋_GB2312" w:eastAsia="仿宋_GB2312"/>
          <w:color w:val="000000"/>
          <w:szCs w:val="32"/>
        </w:rPr>
        <w:t>2．</w:t>
      </w:r>
      <w:r>
        <w:rPr>
          <w:rStyle w:val="5"/>
          <w:rFonts w:ascii="仿宋_GB2312" w:hAnsi="仿宋_GB2312" w:eastAsia="仿宋_GB2312"/>
          <w:color w:val="000000"/>
          <w:szCs w:val="32"/>
        </w:rPr>
        <w:t>所报项目可围绕一个主题类别总结提炼经验做法进行申报，也可聚焦某一类别中单项制度、单项工作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、</w:t>
      </w:r>
      <w:r>
        <w:rPr>
          <w:rStyle w:val="5"/>
          <w:rFonts w:ascii="仿宋_GB2312" w:hAnsi="仿宋_GB2312" w:eastAsia="仿宋_GB2312"/>
          <w:color w:val="000000"/>
          <w:szCs w:val="32"/>
        </w:rPr>
        <w:t>单项品牌活动等进行申报。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hint="eastAsia" w:ascii="仿宋_GB2312" w:hAnsi="仿宋_GB2312" w:eastAsia="仿宋_GB2312"/>
          <w:color w:val="000000"/>
          <w:szCs w:val="32"/>
        </w:rPr>
        <w:t>3．</w:t>
      </w:r>
      <w:r>
        <w:rPr>
          <w:rStyle w:val="5"/>
          <w:rFonts w:ascii="仿宋_GB2312" w:hAnsi="仿宋_GB2312" w:eastAsia="仿宋_GB2312"/>
          <w:color w:val="000000"/>
          <w:szCs w:val="32"/>
        </w:rPr>
        <w:t>当地党委政府对所报项目高度重视，并给予一定政策支持和资金补助。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hint="eastAsia" w:ascii="仿宋_GB2312" w:hAnsi="仿宋_GB2312" w:eastAsia="仿宋_GB2312"/>
          <w:color w:val="000000"/>
          <w:szCs w:val="32"/>
        </w:rPr>
        <w:t>4．当地文化和旅游领域近三年未发生重大舆情事件或安全事故。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hint="eastAsia" w:ascii="仿宋_GB2312" w:hAnsi="仿宋_GB2312" w:eastAsia="仿宋_GB2312"/>
          <w:color w:val="000000"/>
          <w:szCs w:val="32"/>
        </w:rPr>
        <w:t>5．</w:t>
      </w:r>
      <w:r>
        <w:rPr>
          <w:rStyle w:val="5"/>
          <w:rFonts w:ascii="仿宋_GB2312" w:hAnsi="仿宋_GB2312" w:eastAsia="仿宋_GB2312"/>
          <w:color w:val="000000"/>
          <w:szCs w:val="32"/>
        </w:rPr>
        <w:t>申报材料内容包括基本情况、主要做法及成效、经验总结等，案例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标题醒目、内容真实、</w:t>
      </w:r>
      <w:r>
        <w:rPr>
          <w:rStyle w:val="5"/>
          <w:rFonts w:ascii="仿宋_GB2312" w:hAnsi="仿宋_GB2312" w:eastAsia="仿宋_GB2312"/>
          <w:color w:val="000000"/>
          <w:szCs w:val="32"/>
        </w:rPr>
        <w:t>主题突出、特点鲜明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、</w:t>
      </w:r>
      <w:r>
        <w:rPr>
          <w:rStyle w:val="5"/>
          <w:rFonts w:ascii="仿宋_GB2312" w:hAnsi="仿宋_GB2312" w:eastAsia="仿宋_GB2312"/>
          <w:color w:val="000000"/>
          <w:szCs w:val="32"/>
        </w:rPr>
        <w:t>语言生动，字数原则上不超过4000字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，另附照片5张（单张大小1M以上）</w:t>
      </w:r>
      <w:r>
        <w:rPr>
          <w:rStyle w:val="5"/>
          <w:rFonts w:ascii="仿宋_GB2312" w:hAnsi="仿宋_GB2312" w:eastAsia="仿宋_GB2312"/>
          <w:color w:val="000000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/>
        <w:jc w:val="left"/>
        <w:textAlignment w:val="baseline"/>
        <w:rPr>
          <w:rStyle w:val="5"/>
          <w:rFonts w:ascii="黑体" w:hAnsi="黑体" w:eastAsia="黑体"/>
          <w:color w:val="000000"/>
          <w:szCs w:val="32"/>
        </w:rPr>
      </w:pPr>
      <w:r>
        <w:rPr>
          <w:rStyle w:val="5"/>
          <w:rFonts w:hint="eastAsia" w:ascii="黑体" w:hAnsi="黑体" w:eastAsia="黑体"/>
          <w:color w:val="000000"/>
          <w:szCs w:val="32"/>
        </w:rPr>
        <w:t>四、</w:t>
      </w:r>
      <w:r>
        <w:rPr>
          <w:rStyle w:val="5"/>
          <w:rFonts w:ascii="黑体" w:hAnsi="黑体" w:eastAsia="黑体"/>
          <w:color w:val="000000"/>
          <w:szCs w:val="32"/>
        </w:rPr>
        <w:t>实施步骤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楷体_GB2312" w:hAnsi="楷体_GB2312" w:eastAsia="楷体_GB2312"/>
          <w:color w:val="000000"/>
          <w:szCs w:val="32"/>
        </w:rPr>
      </w:pPr>
      <w:r>
        <w:rPr>
          <w:rStyle w:val="5"/>
          <w:rFonts w:ascii="楷体_GB2312" w:hAnsi="楷体_GB2312" w:eastAsia="楷体_GB2312"/>
          <w:color w:val="000000"/>
          <w:szCs w:val="32"/>
        </w:rPr>
        <w:t>（一）通知部署阶段（2021年</w:t>
      </w:r>
      <w:r>
        <w:rPr>
          <w:rStyle w:val="5"/>
          <w:rFonts w:hint="eastAsia" w:ascii="楷体_GB2312" w:hAnsi="楷体_GB2312" w:eastAsia="楷体_GB2312"/>
          <w:color w:val="000000"/>
          <w:szCs w:val="32"/>
        </w:rPr>
        <w:t>9</w:t>
      </w:r>
      <w:r>
        <w:rPr>
          <w:rStyle w:val="5"/>
          <w:rFonts w:ascii="楷体_GB2312" w:hAnsi="楷体_GB2312" w:eastAsia="楷体_GB2312"/>
          <w:color w:val="000000"/>
          <w:szCs w:val="32"/>
        </w:rPr>
        <w:t>月）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文化和旅游部公共服务司会同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中央宣传部文改办、</w:t>
      </w:r>
      <w:r>
        <w:rPr>
          <w:rStyle w:val="5"/>
          <w:rFonts w:ascii="仿宋_GB2312" w:hAnsi="仿宋_GB2312" w:eastAsia="仿宋_GB2312"/>
          <w:color w:val="000000"/>
          <w:szCs w:val="32"/>
        </w:rPr>
        <w:t>国家发展改革委社会发展司研究确定案例遴选标准，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制定遴选工作方案，</w:t>
      </w:r>
      <w:r>
        <w:rPr>
          <w:rStyle w:val="5"/>
          <w:rFonts w:ascii="仿宋_GB2312" w:hAnsi="仿宋_GB2312" w:eastAsia="仿宋_GB2312"/>
          <w:color w:val="000000"/>
          <w:szCs w:val="32"/>
        </w:rPr>
        <w:t>联合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印</w:t>
      </w:r>
      <w:r>
        <w:rPr>
          <w:rStyle w:val="5"/>
          <w:rFonts w:ascii="仿宋_GB2312" w:hAnsi="仿宋_GB2312" w:eastAsia="仿宋_GB2312"/>
          <w:color w:val="000000"/>
          <w:szCs w:val="32"/>
        </w:rPr>
        <w:t>发遴选通知，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向</w:t>
      </w:r>
      <w:r>
        <w:rPr>
          <w:rStyle w:val="5"/>
          <w:rFonts w:ascii="仿宋_GB2312" w:hAnsi="仿宋_GB2312" w:eastAsia="仿宋_GB2312"/>
          <w:color w:val="000000"/>
          <w:szCs w:val="32"/>
        </w:rPr>
        <w:t>各地部署遴选工作。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楷体_GB2312" w:hAnsi="楷体_GB2312" w:eastAsia="楷体_GB2312"/>
          <w:color w:val="000000"/>
          <w:szCs w:val="32"/>
        </w:rPr>
      </w:pPr>
      <w:r>
        <w:rPr>
          <w:rStyle w:val="5"/>
          <w:rFonts w:ascii="楷体_GB2312" w:hAnsi="楷体_GB2312" w:eastAsia="楷体_GB2312"/>
          <w:color w:val="000000"/>
          <w:szCs w:val="32"/>
        </w:rPr>
        <w:t>（二）培育推荐阶段（2021年1</w:t>
      </w:r>
      <w:r>
        <w:rPr>
          <w:rStyle w:val="5"/>
          <w:rFonts w:hint="eastAsia" w:ascii="楷体_GB2312" w:hAnsi="楷体_GB2312" w:eastAsia="楷体_GB2312"/>
          <w:color w:val="000000"/>
          <w:szCs w:val="32"/>
        </w:rPr>
        <w:t>0</w:t>
      </w:r>
      <w:r>
        <w:rPr>
          <w:rStyle w:val="5"/>
          <w:rFonts w:ascii="楷体_GB2312" w:hAnsi="楷体_GB2312" w:eastAsia="楷体_GB2312"/>
          <w:color w:val="000000"/>
          <w:szCs w:val="32"/>
        </w:rPr>
        <w:t>月</w:t>
      </w:r>
      <w:r>
        <w:rPr>
          <w:rStyle w:val="5"/>
          <w:rFonts w:hint="eastAsia" w:ascii="楷体_GB2312" w:hAnsi="楷体_GB2312" w:eastAsia="楷体_GB2312"/>
          <w:color w:val="000000"/>
          <w:szCs w:val="32"/>
        </w:rPr>
        <w:t>—</w:t>
      </w:r>
      <w:r>
        <w:rPr>
          <w:rStyle w:val="5"/>
          <w:rFonts w:ascii="楷体_GB2312" w:hAnsi="楷体_GB2312" w:eastAsia="楷体_GB2312"/>
          <w:color w:val="000000"/>
          <w:szCs w:val="32"/>
        </w:rPr>
        <w:t>2022年6月）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各申报主体按照《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文化和旅游部 国家发展改革委 财政部</w:t>
      </w:r>
      <w:r>
        <w:rPr>
          <w:rStyle w:val="5"/>
          <w:rFonts w:ascii="仿宋_GB2312" w:hAnsi="仿宋_GB2312" w:eastAsia="仿宋_GB2312"/>
          <w:color w:val="000000"/>
          <w:szCs w:val="32"/>
        </w:rPr>
        <w:t>关于推动公共文化服务高质量发展的意见》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（文旅公共发〔2021〕21号）</w:t>
      </w:r>
      <w:r>
        <w:rPr>
          <w:rStyle w:val="5"/>
          <w:rFonts w:ascii="仿宋_GB2312" w:hAnsi="仿宋_GB2312" w:eastAsia="仿宋_GB2312"/>
          <w:color w:val="000000"/>
          <w:szCs w:val="32"/>
        </w:rPr>
        <w:t>、“十四五”相关规划和遴选通知要求，培育高质量发展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典型案例</w:t>
      </w:r>
      <w:r>
        <w:rPr>
          <w:rStyle w:val="5"/>
          <w:rFonts w:ascii="仿宋_GB2312" w:hAnsi="仿宋_GB2312" w:eastAsia="仿宋_GB2312"/>
          <w:color w:val="000000"/>
          <w:szCs w:val="32"/>
        </w:rPr>
        <w:t>，按程序进行申报。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各省级文化和旅游行政部门会同宣传、发展改革部门，加强对典型案例的指导和支持，并</w:t>
      </w:r>
      <w:r>
        <w:rPr>
          <w:rStyle w:val="5"/>
          <w:rFonts w:ascii="仿宋_GB2312" w:hAnsi="仿宋_GB2312" w:eastAsia="仿宋_GB2312"/>
          <w:color w:val="000000"/>
          <w:szCs w:val="32"/>
        </w:rPr>
        <w:t>对本地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区</w:t>
      </w:r>
      <w:r>
        <w:rPr>
          <w:rStyle w:val="5"/>
          <w:rFonts w:ascii="仿宋_GB2312" w:hAnsi="仿宋_GB2312" w:eastAsia="仿宋_GB2312"/>
          <w:color w:val="000000"/>
          <w:szCs w:val="32"/>
        </w:rPr>
        <w:t>申报材料进行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严格</w:t>
      </w:r>
      <w:r>
        <w:rPr>
          <w:rStyle w:val="5"/>
          <w:rFonts w:ascii="仿宋_GB2312" w:hAnsi="仿宋_GB2312" w:eastAsia="仿宋_GB2312"/>
          <w:color w:val="000000"/>
          <w:szCs w:val="32"/>
        </w:rPr>
        <w:t>把关，推荐不超过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7</w:t>
      </w:r>
      <w:r>
        <w:rPr>
          <w:rStyle w:val="5"/>
          <w:rFonts w:ascii="仿宋_GB2312" w:hAnsi="仿宋_GB2312" w:eastAsia="仿宋_GB2312"/>
          <w:color w:val="000000"/>
          <w:szCs w:val="32"/>
        </w:rPr>
        <w:t>个案例至文化和旅游部公共服务司。各地可根据实际情况对有关项目进行支持。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楷体_GB2312" w:hAnsi="楷体_GB2312" w:eastAsia="楷体_GB2312"/>
          <w:color w:val="000000"/>
          <w:szCs w:val="32"/>
        </w:rPr>
      </w:pPr>
      <w:r>
        <w:rPr>
          <w:rStyle w:val="5"/>
          <w:rFonts w:ascii="楷体_GB2312" w:hAnsi="楷体_GB2312" w:eastAsia="楷体_GB2312"/>
          <w:color w:val="000000"/>
          <w:szCs w:val="32"/>
        </w:rPr>
        <w:t>（三）专家评审阶段（2022年7月</w:t>
      </w:r>
      <w:r>
        <w:rPr>
          <w:rStyle w:val="5"/>
          <w:rFonts w:hint="eastAsia" w:ascii="楷体_GB2312" w:hAnsi="楷体_GB2312" w:eastAsia="楷体_GB2312"/>
          <w:color w:val="000000"/>
          <w:szCs w:val="32"/>
        </w:rPr>
        <w:t>—</w:t>
      </w:r>
      <w:r>
        <w:rPr>
          <w:rStyle w:val="5"/>
          <w:rFonts w:ascii="楷体_GB2312" w:hAnsi="楷体_GB2312" w:eastAsia="楷体_GB2312"/>
          <w:color w:val="000000"/>
          <w:szCs w:val="32"/>
        </w:rPr>
        <w:t>9月）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文化和旅游部公共服务司会同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中央宣传部文改办、</w:t>
      </w:r>
      <w:r>
        <w:rPr>
          <w:rStyle w:val="5"/>
          <w:rFonts w:ascii="仿宋_GB2312" w:hAnsi="仿宋_GB2312" w:eastAsia="仿宋_GB2312"/>
          <w:color w:val="000000"/>
          <w:szCs w:val="32"/>
        </w:rPr>
        <w:t>国家发展改革委社会发展司根据各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地</w:t>
      </w:r>
      <w:r>
        <w:rPr>
          <w:rStyle w:val="5"/>
          <w:rFonts w:ascii="仿宋_GB2312" w:hAnsi="仿宋_GB2312" w:eastAsia="仿宋_GB2312"/>
          <w:color w:val="000000"/>
          <w:szCs w:val="32"/>
        </w:rPr>
        <w:t>推荐情况，组织召开专家评审会对各地申报案例进行分类评议，确定公共文化服务高质量发展典型案例名单。对部分案例进行实地调研、核查。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Style w:val="5"/>
          <w:rFonts w:ascii="楷体_GB2312" w:hAnsi="楷体_GB2312" w:eastAsia="楷体_GB2312"/>
          <w:color w:val="000000"/>
          <w:szCs w:val="32"/>
        </w:rPr>
      </w:pPr>
      <w:r>
        <w:rPr>
          <w:rStyle w:val="5"/>
          <w:rFonts w:ascii="楷体_GB2312" w:hAnsi="楷体_GB2312" w:eastAsia="楷体_GB2312"/>
          <w:color w:val="000000"/>
          <w:szCs w:val="32"/>
        </w:rPr>
        <w:t>（四）宣传推广阶段（2022年10月</w:t>
      </w:r>
      <w:r>
        <w:rPr>
          <w:rStyle w:val="5"/>
          <w:rFonts w:hint="eastAsia" w:ascii="楷体_GB2312" w:hAnsi="楷体_GB2312" w:eastAsia="楷体_GB2312"/>
          <w:color w:val="000000"/>
          <w:szCs w:val="32"/>
        </w:rPr>
        <w:t>—</w:t>
      </w:r>
      <w:r>
        <w:rPr>
          <w:rStyle w:val="5"/>
          <w:rFonts w:ascii="楷体_GB2312" w:hAnsi="楷体_GB2312" w:eastAsia="楷体_GB2312"/>
          <w:color w:val="000000"/>
          <w:szCs w:val="32"/>
        </w:rPr>
        <w:t>12月）</w:t>
      </w:r>
    </w:p>
    <w:p>
      <w:pPr>
        <w:adjustRightInd w:val="0"/>
        <w:snapToGrid w:val="0"/>
        <w:spacing w:line="560" w:lineRule="exact"/>
        <w:ind w:firstLine="640"/>
        <w:textAlignment w:val="baseline"/>
        <w:rPr>
          <w:rStyle w:val="5"/>
          <w:rFonts w:hint="eastAsia" w:ascii="仿宋_GB2312" w:hAnsi="仿宋_GB2312" w:eastAsia="仿宋_GB2312"/>
          <w:color w:val="000000"/>
          <w:szCs w:val="32"/>
        </w:rPr>
      </w:pPr>
      <w:r>
        <w:rPr>
          <w:rStyle w:val="5"/>
          <w:rFonts w:ascii="仿宋_GB2312" w:hAnsi="仿宋_GB2312" w:eastAsia="仿宋_GB2312"/>
          <w:color w:val="000000"/>
          <w:szCs w:val="32"/>
        </w:rPr>
        <w:t>请入选案例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申报单位</w:t>
      </w:r>
      <w:r>
        <w:rPr>
          <w:rStyle w:val="5"/>
          <w:rFonts w:ascii="仿宋_GB2312" w:hAnsi="仿宋_GB2312" w:eastAsia="仿宋_GB2312"/>
          <w:color w:val="000000"/>
          <w:szCs w:val="32"/>
        </w:rPr>
        <w:t>提交文字、图片和视频等补充材料，汇编出版《公共文化服务高质量发展典型案例汇编》，供相关部门、地方和单位学习交流。结合公共文化服务领域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重要</w:t>
      </w:r>
      <w:r>
        <w:rPr>
          <w:rStyle w:val="5"/>
          <w:rFonts w:ascii="仿宋_GB2312" w:hAnsi="仿宋_GB2312" w:eastAsia="仿宋_GB2312"/>
          <w:color w:val="000000"/>
          <w:szCs w:val="32"/>
        </w:rPr>
        <w:t>会议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和重点活动</w:t>
      </w:r>
      <w:r>
        <w:rPr>
          <w:rStyle w:val="5"/>
          <w:rFonts w:ascii="仿宋_GB2312" w:hAnsi="仿宋_GB2312" w:eastAsia="仿宋_GB2312"/>
          <w:color w:val="000000"/>
          <w:szCs w:val="32"/>
        </w:rPr>
        <w:t>，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文化和旅游部公共服务司</w:t>
      </w:r>
      <w:r>
        <w:rPr>
          <w:rStyle w:val="5"/>
          <w:rFonts w:ascii="仿宋_GB2312" w:hAnsi="仿宋_GB2312" w:eastAsia="仿宋_GB2312"/>
          <w:color w:val="000000"/>
          <w:szCs w:val="32"/>
        </w:rPr>
        <w:t>会同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中央宣传部文改办、</w:t>
      </w:r>
      <w:r>
        <w:rPr>
          <w:rStyle w:val="5"/>
          <w:rFonts w:ascii="仿宋_GB2312" w:hAnsi="仿宋_GB2312" w:eastAsia="仿宋_GB2312"/>
          <w:color w:val="000000"/>
          <w:szCs w:val="32"/>
        </w:rPr>
        <w:t>国家发展改革委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社会发展司</w:t>
      </w:r>
      <w:r>
        <w:rPr>
          <w:rStyle w:val="5"/>
          <w:rFonts w:ascii="仿宋_GB2312" w:hAnsi="仿宋_GB2312" w:eastAsia="仿宋_GB2312"/>
          <w:color w:val="000000"/>
          <w:szCs w:val="32"/>
        </w:rPr>
        <w:t>联合发布案例汇编，进行案例文字和图片展览。在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有关媒体</w:t>
      </w:r>
      <w:r>
        <w:rPr>
          <w:rStyle w:val="5"/>
          <w:rFonts w:ascii="仿宋_GB2312" w:hAnsi="仿宋_GB2312" w:eastAsia="仿宋_GB2312"/>
          <w:color w:val="000000"/>
          <w:szCs w:val="32"/>
        </w:rPr>
        <w:t>宣传推广</w:t>
      </w:r>
      <w:r>
        <w:rPr>
          <w:rStyle w:val="5"/>
          <w:rFonts w:hint="eastAsia" w:ascii="仿宋_GB2312" w:hAnsi="仿宋_GB2312" w:eastAsia="仿宋_GB2312"/>
          <w:color w:val="000000"/>
          <w:szCs w:val="32"/>
        </w:rPr>
        <w:t>典型案例</w:t>
      </w:r>
      <w:r>
        <w:rPr>
          <w:rStyle w:val="5"/>
          <w:rFonts w:ascii="仿宋_GB2312" w:hAnsi="仿宋_GB2312" w:eastAsia="仿宋_GB2312"/>
          <w:color w:val="000000"/>
          <w:szCs w:val="32"/>
        </w:rPr>
        <w:t>，重点包括案例评选结果发布、案例汇编及典型案例专题宣传、专家学者点评等。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E1A9A"/>
    <w:multiLevelType w:val="singleLevel"/>
    <w:tmpl w:val="A7EE1A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6C3E9E"/>
    <w:multiLevelType w:val="singleLevel"/>
    <w:tmpl w:val="2F6C3E9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3C99"/>
    <w:rsid w:val="571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widowControl/>
      <w:ind w:left="120"/>
      <w:textAlignment w:val="baseline"/>
    </w:pPr>
    <w:rPr>
      <w:rFonts w:ascii="宋体" w:hAnsi="宋体" w:eastAsia="宋体"/>
      <w:sz w:val="30"/>
      <w:szCs w:val="30"/>
    </w:r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2021-10-13T06:38:00Z</dcterms:created>
  <dc:creator>MSW</dc:creator>
  <cp:lastModifiedBy>MSW</cp:lastModifiedBy>
  <dcterms:modified xsi:type="dcterms:W3CDTF">2021-10-13T06:39:30Z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920D0DC5D321466BA11F9CE4209B5A96</vt:lpwstr>
  </property>
</Properties>
</file>